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38303" w14:textId="77777777" w:rsidR="00271F9A" w:rsidRPr="005E18E7" w:rsidRDefault="00271F9A" w:rsidP="00271F9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eastAsia="Times New Roman" w:cstheme="minorHAnsi"/>
          <w:b/>
          <w:bCs/>
          <w:color w:val="333333"/>
        </w:rPr>
      </w:pPr>
    </w:p>
    <w:p w14:paraId="17ACC084" w14:textId="77777777" w:rsidR="00271F9A" w:rsidRPr="005E18E7" w:rsidRDefault="00271F9A" w:rsidP="00451B5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color w:val="333333"/>
        </w:rPr>
      </w:pPr>
    </w:p>
    <w:p w14:paraId="3660BA6D" w14:textId="4B869050" w:rsidR="00451B5E" w:rsidRPr="00B36510" w:rsidRDefault="00451B5E" w:rsidP="00451B5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sz w:val="24"/>
          <w:szCs w:val="24"/>
        </w:rPr>
      </w:pPr>
      <w:r w:rsidRPr="00B36510">
        <w:rPr>
          <w:rFonts w:eastAsia="Times New Roman" w:cstheme="minorHAnsi"/>
          <w:b/>
          <w:bCs/>
          <w:color w:val="333333"/>
          <w:sz w:val="24"/>
          <w:szCs w:val="24"/>
        </w:rPr>
        <w:t xml:space="preserve">Законодавчі ініціативи за період </w:t>
      </w:r>
      <w:r w:rsidR="006F41D0" w:rsidRPr="00B36510">
        <w:rPr>
          <w:rFonts w:eastAsia="Times New Roman" w:cstheme="minorHAnsi"/>
          <w:b/>
          <w:bCs/>
          <w:color w:val="333333"/>
          <w:sz w:val="24"/>
          <w:szCs w:val="24"/>
        </w:rPr>
        <w:t>01</w:t>
      </w:r>
      <w:r w:rsidRPr="00B36510">
        <w:rPr>
          <w:rFonts w:eastAsia="Times New Roman" w:cstheme="minorHAnsi"/>
          <w:b/>
          <w:bCs/>
          <w:color w:val="333333"/>
          <w:sz w:val="24"/>
          <w:szCs w:val="24"/>
        </w:rPr>
        <w:t>-</w:t>
      </w:r>
      <w:r w:rsidR="00DB1AC9" w:rsidRPr="00B36510">
        <w:rPr>
          <w:rFonts w:eastAsia="Times New Roman" w:cstheme="minorHAnsi"/>
          <w:b/>
          <w:bCs/>
          <w:color w:val="333333"/>
          <w:sz w:val="24"/>
          <w:szCs w:val="24"/>
        </w:rPr>
        <w:t>15</w:t>
      </w:r>
      <w:r w:rsidRPr="00B36510">
        <w:rPr>
          <w:rFonts w:eastAsia="Times New Roman" w:cstheme="minorHAnsi"/>
          <w:b/>
          <w:bCs/>
          <w:color w:val="333333"/>
          <w:sz w:val="24"/>
          <w:szCs w:val="24"/>
        </w:rPr>
        <w:t xml:space="preserve"> </w:t>
      </w:r>
      <w:r w:rsidR="006F41D0" w:rsidRPr="00B36510">
        <w:rPr>
          <w:rFonts w:eastAsia="Times New Roman" w:cstheme="minorHAnsi"/>
          <w:b/>
          <w:bCs/>
          <w:color w:val="333333"/>
          <w:sz w:val="24"/>
          <w:szCs w:val="24"/>
        </w:rPr>
        <w:t>ли</w:t>
      </w:r>
      <w:r w:rsidR="00DB1AC9" w:rsidRPr="00B36510">
        <w:rPr>
          <w:rFonts w:eastAsia="Times New Roman" w:cstheme="minorHAnsi"/>
          <w:b/>
          <w:bCs/>
          <w:color w:val="333333"/>
          <w:sz w:val="24"/>
          <w:szCs w:val="24"/>
        </w:rPr>
        <w:t>стопада</w:t>
      </w:r>
      <w:r w:rsidRPr="00B36510">
        <w:rPr>
          <w:rFonts w:eastAsia="Times New Roman" w:cstheme="minorHAnsi"/>
          <w:b/>
          <w:bCs/>
          <w:color w:val="333333"/>
          <w:sz w:val="24"/>
          <w:szCs w:val="24"/>
        </w:rPr>
        <w:t xml:space="preserve"> 2020 року, що впливають</w:t>
      </w:r>
      <w:r w:rsidRPr="00B36510">
        <w:rPr>
          <w:sz w:val="24"/>
          <w:szCs w:val="24"/>
        </w:rPr>
        <w:t xml:space="preserve"> </w:t>
      </w:r>
    </w:p>
    <w:p w14:paraId="37DCC88E" w14:textId="77777777" w:rsidR="00451B5E" w:rsidRPr="00B36510" w:rsidRDefault="00451B5E" w:rsidP="00451B5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B36510">
        <w:rPr>
          <w:rFonts w:eastAsia="Times New Roman" w:cstheme="minorHAnsi"/>
          <w:b/>
          <w:bCs/>
          <w:color w:val="333333"/>
          <w:sz w:val="24"/>
          <w:szCs w:val="24"/>
        </w:rPr>
        <w:t>на діяльність виробників з ВДЕ</w:t>
      </w:r>
    </w:p>
    <w:p w14:paraId="2C06CB13" w14:textId="77777777" w:rsidR="00451B5E" w:rsidRPr="00B36510" w:rsidRDefault="00451B5E" w:rsidP="00451B5E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color w:val="333333"/>
        </w:rPr>
      </w:pPr>
    </w:p>
    <w:p w14:paraId="1BA9696D" w14:textId="77777777" w:rsidR="00451B5E" w:rsidRPr="00B36510" w:rsidRDefault="00451B5E" w:rsidP="00451B5E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B36510">
        <w:rPr>
          <w:rFonts w:eastAsia="Times New Roman" w:cstheme="minorHAnsi"/>
          <w:b/>
          <w:bCs/>
          <w:color w:val="333333"/>
          <w:sz w:val="24"/>
          <w:szCs w:val="24"/>
        </w:rPr>
        <w:t>Верховна Рада України</w:t>
      </w:r>
    </w:p>
    <w:p w14:paraId="67A6B415" w14:textId="77777777" w:rsidR="00451B5E" w:rsidRPr="00B36510" w:rsidRDefault="00451B5E" w:rsidP="00451B5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eastAsia="Times New Roman" w:cstheme="minorHAnsi"/>
          <w:b/>
          <w:bCs/>
          <w:color w:val="333333"/>
        </w:rPr>
      </w:pPr>
    </w:p>
    <w:p w14:paraId="07C94030" w14:textId="1C15734A" w:rsidR="00853CE3" w:rsidRPr="00B36510" w:rsidRDefault="00853CE3" w:rsidP="00451B5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eastAsia="Times New Roman" w:cstheme="minorHAnsi"/>
          <w:b/>
          <w:bCs/>
          <w:color w:val="333333"/>
        </w:rPr>
      </w:pPr>
      <w:r w:rsidRPr="00B36510">
        <w:rPr>
          <w:rFonts w:eastAsia="Times New Roman" w:cstheme="minorHAnsi"/>
          <w:b/>
          <w:bCs/>
          <w:color w:val="333333"/>
        </w:rPr>
        <w:t xml:space="preserve">Проголосовані </w:t>
      </w:r>
      <w:r w:rsidR="009E50D8" w:rsidRPr="00B36510">
        <w:rPr>
          <w:rFonts w:eastAsia="Times New Roman" w:cstheme="minorHAnsi"/>
          <w:b/>
          <w:bCs/>
          <w:color w:val="333333"/>
        </w:rPr>
        <w:t>акти ВРУ</w:t>
      </w:r>
    </w:p>
    <w:p w14:paraId="73AAF064" w14:textId="77777777" w:rsidR="00DB1AC9" w:rsidRPr="00B36510" w:rsidRDefault="00DB1AC9" w:rsidP="00451B5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eastAsia="Times New Roman" w:cstheme="minorHAnsi"/>
          <w:b/>
          <w:bCs/>
          <w:color w:val="333333"/>
        </w:rPr>
      </w:pPr>
    </w:p>
    <w:p w14:paraId="3290C051" w14:textId="1A154510" w:rsidR="00F26FAB" w:rsidRPr="00B36510" w:rsidRDefault="00E77DEF" w:rsidP="00451B5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eastAsia="Times New Roman" w:cstheme="minorHAnsi"/>
          <w:color w:val="333333"/>
        </w:rPr>
      </w:pPr>
      <w:r w:rsidRPr="00B36510">
        <w:rPr>
          <w:rFonts w:eastAsia="Times New Roman" w:cstheme="minorHAnsi"/>
          <w:b/>
          <w:bCs/>
          <w:color w:val="333333"/>
        </w:rPr>
        <w:t>0</w:t>
      </w:r>
      <w:r w:rsidRPr="00B36510">
        <w:rPr>
          <w:rFonts w:eastAsia="Times New Roman" w:cstheme="minorHAnsi"/>
          <w:b/>
          <w:bCs/>
          <w:i/>
          <w:iCs/>
          <w:color w:val="333333"/>
        </w:rPr>
        <w:t>4 листопада 2020 року у першому читанні</w:t>
      </w:r>
      <w:r w:rsidRPr="00B36510">
        <w:rPr>
          <w:rFonts w:eastAsia="Times New Roman" w:cstheme="minorHAnsi"/>
          <w:i/>
          <w:iCs/>
          <w:color w:val="333333"/>
        </w:rPr>
        <w:t xml:space="preserve"> </w:t>
      </w:r>
      <w:r w:rsidR="0094527F" w:rsidRPr="00B36510">
        <w:rPr>
          <w:rFonts w:eastAsia="Times New Roman" w:cstheme="minorHAnsi"/>
          <w:b/>
          <w:bCs/>
          <w:i/>
          <w:iCs/>
          <w:color w:val="333333"/>
        </w:rPr>
        <w:t>прийнятий</w:t>
      </w:r>
      <w:r w:rsidR="0094527F" w:rsidRPr="00B36510">
        <w:rPr>
          <w:rFonts w:eastAsia="Times New Roman" w:cstheme="minorHAnsi"/>
          <w:color w:val="333333"/>
        </w:rPr>
        <w:t xml:space="preserve"> </w:t>
      </w:r>
      <w:r w:rsidRPr="00B36510">
        <w:rPr>
          <w:rFonts w:eastAsia="Times New Roman" w:cstheme="minorHAnsi"/>
          <w:color w:val="333333"/>
        </w:rPr>
        <w:t xml:space="preserve">Закон «Про внесення змін до Закону України "Про Державний бюджет України на 2020 рік" </w:t>
      </w:r>
      <w:r w:rsidRPr="00B36510">
        <w:rPr>
          <w:rFonts w:eastAsia="Times New Roman" w:cstheme="minorHAnsi"/>
          <w:i/>
          <w:iCs/>
          <w:color w:val="333333"/>
        </w:rPr>
        <w:t>(</w:t>
      </w:r>
      <w:r w:rsidRPr="00B36510">
        <w:rPr>
          <w:rFonts w:eastAsia="Times New Roman" w:cstheme="minorHAnsi"/>
          <w:b/>
          <w:bCs/>
          <w:i/>
          <w:iCs/>
          <w:color w:val="333333"/>
        </w:rPr>
        <w:t>законопроєкт № 4119).</w:t>
      </w:r>
      <w:r w:rsidRPr="00B36510">
        <w:rPr>
          <w:rFonts w:eastAsia="Times New Roman" w:cstheme="minorHAnsi"/>
          <w:color w:val="333333"/>
        </w:rPr>
        <w:t xml:space="preserve"> Закон, зокрема</w:t>
      </w:r>
      <w:r w:rsidR="00EE2FF7" w:rsidRPr="00B36510">
        <w:rPr>
          <w:rFonts w:eastAsia="Times New Roman" w:cstheme="minorHAnsi"/>
          <w:color w:val="333333"/>
        </w:rPr>
        <w:t>,</w:t>
      </w:r>
      <w:r w:rsidRPr="00B36510">
        <w:rPr>
          <w:rFonts w:eastAsia="Times New Roman" w:cstheme="minorHAnsi"/>
          <w:color w:val="333333"/>
        </w:rPr>
        <w:t xml:space="preserve"> надає КМУ повноваження приймати у 2020 році рішення щодо надання державних гарантій </w:t>
      </w:r>
      <w:r w:rsidR="00EE2FF7" w:rsidRPr="00B36510">
        <w:rPr>
          <w:rFonts w:eastAsia="Times New Roman" w:cstheme="minorHAnsi"/>
          <w:color w:val="333333"/>
        </w:rPr>
        <w:t xml:space="preserve">ПрАТ НЕК Укренерго </w:t>
      </w:r>
      <w:r w:rsidRPr="00B36510">
        <w:rPr>
          <w:rFonts w:eastAsia="Times New Roman" w:cstheme="minorHAnsi"/>
          <w:color w:val="333333"/>
        </w:rPr>
        <w:t xml:space="preserve">для забезпечення виконання боргових зобов’язань </w:t>
      </w:r>
      <w:r w:rsidR="00EE2FF7" w:rsidRPr="00B36510">
        <w:rPr>
          <w:rFonts w:eastAsia="Times New Roman" w:cstheme="minorHAnsi"/>
          <w:color w:val="333333"/>
        </w:rPr>
        <w:t>в обсязі 8,9 млрд. грн.</w:t>
      </w:r>
      <w:r w:rsidR="00F26FAB" w:rsidRPr="00B36510">
        <w:rPr>
          <w:rFonts w:eastAsia="Times New Roman" w:cstheme="minorHAnsi"/>
          <w:color w:val="333333"/>
        </w:rPr>
        <w:t xml:space="preserve"> </w:t>
      </w:r>
    </w:p>
    <w:p w14:paraId="7F9C6F89" w14:textId="77777777" w:rsidR="00416BA4" w:rsidRPr="00B36510" w:rsidRDefault="00416BA4" w:rsidP="00451B5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eastAsia="Times New Roman" w:cstheme="minorHAnsi"/>
          <w:color w:val="333333"/>
        </w:rPr>
      </w:pPr>
    </w:p>
    <w:p w14:paraId="3539C56A" w14:textId="5D8A0E9D" w:rsidR="00E77DEF" w:rsidRPr="00B36510" w:rsidRDefault="00EE2FF7" w:rsidP="00451B5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eastAsia="Times New Roman" w:cstheme="minorHAnsi"/>
          <w:color w:val="333333"/>
        </w:rPr>
      </w:pPr>
      <w:r w:rsidRPr="00B36510">
        <w:rPr>
          <w:rFonts w:eastAsia="Times New Roman" w:cstheme="minorHAnsi"/>
          <w:color w:val="333333"/>
        </w:rPr>
        <w:t xml:space="preserve">Пояснювальна записка до законопроєкту зазначає, що ця норма спрямована на </w:t>
      </w:r>
      <w:r w:rsidR="00F26FAB" w:rsidRPr="00B36510">
        <w:rPr>
          <w:rFonts w:eastAsia="Times New Roman" w:cstheme="minorHAnsi"/>
          <w:color w:val="333333"/>
        </w:rPr>
        <w:t>«</w:t>
      </w:r>
      <w:r w:rsidRPr="00B36510">
        <w:rPr>
          <w:rFonts w:eastAsia="Times New Roman" w:cstheme="minorHAnsi"/>
          <w:color w:val="333333"/>
        </w:rPr>
        <w:t>врегулювання  розрахунків по зеленій енергетиці</w:t>
      </w:r>
      <w:r w:rsidR="00F26FAB" w:rsidRPr="00B36510">
        <w:rPr>
          <w:rFonts w:eastAsia="Times New Roman" w:cstheme="minorHAnsi"/>
          <w:color w:val="333333"/>
        </w:rPr>
        <w:t>»</w:t>
      </w:r>
      <w:r w:rsidRPr="00B36510">
        <w:rPr>
          <w:rFonts w:eastAsia="Times New Roman" w:cstheme="minorHAnsi"/>
          <w:color w:val="333333"/>
        </w:rPr>
        <w:t>.</w:t>
      </w:r>
      <w:r w:rsidR="00F26FAB" w:rsidRPr="00B36510">
        <w:rPr>
          <w:rFonts w:eastAsia="Times New Roman" w:cstheme="minorHAnsi"/>
          <w:color w:val="333333"/>
        </w:rPr>
        <w:t xml:space="preserve"> Проте, власне законопроєкт не містить визначення цільового використання залучених</w:t>
      </w:r>
      <w:r w:rsidR="00416BA4" w:rsidRPr="00B36510">
        <w:rPr>
          <w:rFonts w:eastAsia="Times New Roman" w:cstheme="minorHAnsi"/>
          <w:color w:val="333333"/>
        </w:rPr>
        <w:t xml:space="preserve"> НЕК «Укренерго»</w:t>
      </w:r>
      <w:r w:rsidR="00F26FAB" w:rsidRPr="00B36510">
        <w:rPr>
          <w:rFonts w:eastAsia="Times New Roman" w:cstheme="minorHAnsi"/>
          <w:color w:val="333333"/>
        </w:rPr>
        <w:t xml:space="preserve"> коштів саме на погашення заборгованості перед виробниками з ВДЕ.</w:t>
      </w:r>
    </w:p>
    <w:p w14:paraId="1736C747" w14:textId="77777777" w:rsidR="00E77DEF" w:rsidRPr="00B36510" w:rsidRDefault="00E77DEF" w:rsidP="00451B5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eastAsia="Times New Roman" w:cstheme="minorHAnsi"/>
          <w:color w:val="333333"/>
        </w:rPr>
      </w:pPr>
    </w:p>
    <w:p w14:paraId="2C5FDA17" w14:textId="05E4959C" w:rsidR="00DB1AC9" w:rsidRPr="00B36510" w:rsidRDefault="00485405" w:rsidP="00451B5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eastAsia="Times New Roman" w:cstheme="minorHAnsi"/>
          <w:color w:val="333333"/>
        </w:rPr>
      </w:pPr>
      <w:r w:rsidRPr="00B36510">
        <w:rPr>
          <w:rFonts w:eastAsia="Times New Roman" w:cstheme="minorHAnsi"/>
          <w:color w:val="333333"/>
        </w:rPr>
        <w:t xml:space="preserve">Наразі законопроєкт готується до другого читання. </w:t>
      </w:r>
      <w:r w:rsidR="00E77DEF" w:rsidRPr="00B36510">
        <w:rPr>
          <w:rFonts w:eastAsia="Times New Roman" w:cstheme="minorHAnsi"/>
          <w:color w:val="333333"/>
        </w:rPr>
        <w:t>ВРУ передбачила прискорену підготовку законопроєкту</w:t>
      </w:r>
      <w:r w:rsidR="00F26FAB" w:rsidRPr="00B36510">
        <w:rPr>
          <w:rFonts w:eastAsia="Times New Roman" w:cstheme="minorHAnsi"/>
          <w:color w:val="333333"/>
        </w:rPr>
        <w:t>,</w:t>
      </w:r>
      <w:r w:rsidR="00E77DEF" w:rsidRPr="00B36510">
        <w:rPr>
          <w:rFonts w:eastAsia="Times New Roman" w:cstheme="minorHAnsi"/>
          <w:color w:val="333333"/>
        </w:rPr>
        <w:t xml:space="preserve"> строк подання пропозицій </w:t>
      </w:r>
      <w:r w:rsidR="00F26FAB" w:rsidRPr="00B36510">
        <w:rPr>
          <w:rFonts w:eastAsia="Times New Roman" w:cstheme="minorHAnsi"/>
          <w:color w:val="333333"/>
        </w:rPr>
        <w:t>до другого читання</w:t>
      </w:r>
      <w:r w:rsidR="00A119FA" w:rsidRPr="00B36510">
        <w:rPr>
          <w:rFonts w:eastAsia="Times New Roman" w:cstheme="minorHAnsi"/>
          <w:color w:val="333333"/>
        </w:rPr>
        <w:t xml:space="preserve"> скорочений</w:t>
      </w:r>
      <w:r w:rsidR="00F26FAB" w:rsidRPr="00B36510">
        <w:rPr>
          <w:rFonts w:eastAsia="Times New Roman" w:cstheme="minorHAnsi"/>
          <w:color w:val="333333"/>
        </w:rPr>
        <w:t xml:space="preserve"> </w:t>
      </w:r>
      <w:r w:rsidR="00E77DEF" w:rsidRPr="00B36510">
        <w:rPr>
          <w:rFonts w:eastAsia="Times New Roman" w:cstheme="minorHAnsi"/>
          <w:color w:val="333333"/>
        </w:rPr>
        <w:t xml:space="preserve">з 14 до 7 днів. </w:t>
      </w:r>
    </w:p>
    <w:p w14:paraId="1B8AA0B4" w14:textId="77777777" w:rsidR="00DB1AC9" w:rsidRPr="00B36510" w:rsidRDefault="00DB1AC9" w:rsidP="00451B5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eastAsia="Times New Roman" w:cstheme="minorHAnsi"/>
          <w:b/>
          <w:bCs/>
          <w:color w:val="333333"/>
        </w:rPr>
      </w:pPr>
    </w:p>
    <w:p w14:paraId="74459E3A" w14:textId="77777777" w:rsidR="002A4253" w:rsidRPr="00B36510" w:rsidRDefault="002A4253" w:rsidP="00451B5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eastAsia="Times New Roman" w:cstheme="minorHAnsi"/>
          <w:b/>
          <w:bCs/>
          <w:color w:val="333333"/>
        </w:rPr>
      </w:pPr>
    </w:p>
    <w:p w14:paraId="2D8032A8" w14:textId="77A27006" w:rsidR="00451B5E" w:rsidRPr="00B36510" w:rsidRDefault="00451B5E" w:rsidP="00485F6F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eastAsia="Times New Roman" w:cstheme="minorHAnsi"/>
          <w:b/>
          <w:bCs/>
          <w:color w:val="333333"/>
        </w:rPr>
      </w:pPr>
      <w:r w:rsidRPr="00B36510">
        <w:rPr>
          <w:rFonts w:eastAsia="Times New Roman" w:cstheme="minorHAnsi"/>
          <w:b/>
          <w:bCs/>
          <w:color w:val="333333"/>
        </w:rPr>
        <w:t>Зареєстровані законодавчі ініціативи</w:t>
      </w:r>
    </w:p>
    <w:p w14:paraId="2DB09C27" w14:textId="739AECD2" w:rsidR="00772290" w:rsidRPr="00B36510" w:rsidRDefault="00772290" w:rsidP="00485F6F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eastAsia="Times New Roman" w:cstheme="minorHAnsi"/>
          <w:color w:val="333333"/>
        </w:rPr>
      </w:pPr>
      <w:r w:rsidRPr="00B36510">
        <w:rPr>
          <w:rFonts w:eastAsia="Times New Roman" w:cstheme="minorHAnsi"/>
          <w:b/>
          <w:bCs/>
          <w:i/>
          <w:iCs/>
          <w:color w:val="333333"/>
        </w:rPr>
        <w:t>Реєстраційний № 4101-д від 11.11.2020</w:t>
      </w:r>
      <w:r w:rsidRPr="00B36510">
        <w:rPr>
          <w:rFonts w:eastAsia="Times New Roman" w:cstheme="minorHAnsi"/>
          <w:b/>
          <w:bCs/>
          <w:color w:val="333333"/>
        </w:rPr>
        <w:t xml:space="preserve"> </w:t>
      </w:r>
      <w:r w:rsidRPr="00B36510">
        <w:rPr>
          <w:rFonts w:eastAsia="Times New Roman" w:cstheme="minorHAnsi"/>
          <w:color w:val="333333"/>
        </w:rPr>
        <w:t>- проєкт закону про внесення змін до Податкового кодексу України та деяких інших законів України щодо забезпечення збалансованості бюджетних надходжень.</w:t>
      </w:r>
      <w:r w:rsidR="00A73164" w:rsidRPr="00B36510">
        <w:rPr>
          <w:rFonts w:eastAsia="Times New Roman" w:cstheme="minorHAnsi"/>
          <w:color w:val="333333"/>
        </w:rPr>
        <w:t xml:space="preserve"> Проєкт, серед інших, містить</w:t>
      </w:r>
      <w:r w:rsidR="008879A6" w:rsidRPr="00B36510">
        <w:rPr>
          <w:rFonts w:eastAsia="Times New Roman" w:cstheme="minorHAnsi"/>
          <w:color w:val="333333"/>
        </w:rPr>
        <w:t xml:space="preserve"> такі</w:t>
      </w:r>
      <w:r w:rsidR="00A73164" w:rsidRPr="00B36510">
        <w:rPr>
          <w:rFonts w:eastAsia="Times New Roman" w:cstheme="minorHAnsi"/>
          <w:color w:val="333333"/>
        </w:rPr>
        <w:t xml:space="preserve"> </w:t>
      </w:r>
      <w:r w:rsidR="008879A6" w:rsidRPr="00B36510">
        <w:rPr>
          <w:rFonts w:eastAsia="Times New Roman" w:cstheme="minorHAnsi"/>
          <w:color w:val="333333"/>
        </w:rPr>
        <w:t>зміни до Податкового кодексу</w:t>
      </w:r>
      <w:r w:rsidR="00A73164" w:rsidRPr="00B36510">
        <w:rPr>
          <w:rFonts w:eastAsia="Times New Roman" w:cstheme="minorHAnsi"/>
          <w:color w:val="333333"/>
        </w:rPr>
        <w:t>, що можуть впливати на виробників з ВДЕ, а саме:</w:t>
      </w:r>
    </w:p>
    <w:p w14:paraId="1B3F93DD" w14:textId="76B1C01C" w:rsidR="00564320" w:rsidRPr="00B36510" w:rsidRDefault="0049265A" w:rsidP="009F528A">
      <w:pPr>
        <w:pStyle w:val="a3"/>
        <w:numPr>
          <w:ilvl w:val="0"/>
          <w:numId w:val="10"/>
        </w:numPr>
        <w:shd w:val="clear" w:color="auto" w:fill="FFFFFF"/>
        <w:spacing w:after="240" w:line="240" w:lineRule="auto"/>
        <w:jc w:val="both"/>
        <w:textAlignment w:val="baseline"/>
        <w:outlineLvl w:val="2"/>
        <w:rPr>
          <w:rFonts w:eastAsia="Times New Roman" w:cstheme="minorHAnsi"/>
          <w:color w:val="333333"/>
        </w:rPr>
      </w:pPr>
      <w:r w:rsidRPr="00B36510">
        <w:rPr>
          <w:rFonts w:eastAsia="Times New Roman" w:cstheme="minorHAnsi"/>
          <w:color w:val="333333"/>
        </w:rPr>
        <w:t>виробникам з ВДЕ</w:t>
      </w:r>
      <w:r w:rsidR="00C45D0E" w:rsidRPr="00B36510">
        <w:t xml:space="preserve"> т</w:t>
      </w:r>
      <w:r w:rsidR="00C45D0E" w:rsidRPr="00B36510">
        <w:rPr>
          <w:rFonts w:eastAsia="Times New Roman" w:cstheme="minorHAnsi"/>
          <w:color w:val="333333"/>
        </w:rPr>
        <w:t xml:space="preserve">имчасово з 1 січня 2021 року до 1 січня 2025 року дозволяється відстрочувати сплату податку на прибуток підприємства у частині електричної енергії, що не була оплачена такому виробнику з ВДЕ. Податкове зобов’язання з податку на прибуток </w:t>
      </w:r>
      <w:r w:rsidR="009F528A" w:rsidRPr="00B36510">
        <w:rPr>
          <w:rFonts w:eastAsia="Times New Roman" w:cstheme="minorHAnsi"/>
          <w:color w:val="333333"/>
        </w:rPr>
        <w:t>виробника з ВДЕ</w:t>
      </w:r>
      <w:r w:rsidR="00564320" w:rsidRPr="00B36510">
        <w:rPr>
          <w:rFonts w:eastAsia="Times New Roman" w:cstheme="minorHAnsi"/>
          <w:color w:val="333333"/>
        </w:rPr>
        <w:t xml:space="preserve"> за  квартальний звітний період </w:t>
      </w:r>
      <w:r w:rsidR="00C45D0E" w:rsidRPr="00B36510">
        <w:rPr>
          <w:rFonts w:eastAsia="Times New Roman" w:cstheme="minorHAnsi"/>
          <w:color w:val="333333"/>
        </w:rPr>
        <w:t>буде обчислюватись шляхом множення</w:t>
      </w:r>
      <w:r w:rsidR="00564320" w:rsidRPr="00B36510">
        <w:rPr>
          <w:rFonts w:eastAsia="Times New Roman" w:cstheme="minorHAnsi"/>
          <w:color w:val="333333"/>
        </w:rPr>
        <w:t xml:space="preserve"> розрахованого </w:t>
      </w:r>
      <w:r w:rsidR="00C45D0E" w:rsidRPr="00B36510">
        <w:rPr>
          <w:rFonts w:eastAsia="Times New Roman" w:cstheme="minorHAnsi"/>
          <w:color w:val="333333"/>
        </w:rPr>
        <w:t xml:space="preserve">податку на прибуток  </w:t>
      </w:r>
      <w:bookmarkStart w:id="0" w:name="_Hlk56435802"/>
      <w:r w:rsidR="00C45D0E" w:rsidRPr="00B36510">
        <w:rPr>
          <w:rFonts w:eastAsia="Times New Roman" w:cstheme="minorHAnsi"/>
          <w:color w:val="333333"/>
        </w:rPr>
        <w:t>за</w:t>
      </w:r>
      <w:r w:rsidR="00564320" w:rsidRPr="00B36510">
        <w:rPr>
          <w:rFonts w:eastAsia="Times New Roman" w:cstheme="minorHAnsi"/>
          <w:color w:val="333333"/>
        </w:rPr>
        <w:t xml:space="preserve"> відповідний</w:t>
      </w:r>
      <w:r w:rsidR="00C45D0E" w:rsidRPr="00B36510">
        <w:rPr>
          <w:rFonts w:eastAsia="Times New Roman" w:cstheme="minorHAnsi"/>
          <w:color w:val="333333"/>
        </w:rPr>
        <w:t xml:space="preserve"> квартальний період </w:t>
      </w:r>
      <w:bookmarkEnd w:id="0"/>
      <w:r w:rsidR="00C45D0E" w:rsidRPr="00B36510">
        <w:rPr>
          <w:rFonts w:eastAsia="Times New Roman" w:cstheme="minorHAnsi"/>
          <w:color w:val="333333"/>
        </w:rPr>
        <w:t>на коефіцієнт оплати за реалізовану електричну енергію за «зеленим</w:t>
      </w:r>
      <w:r w:rsidR="00564320" w:rsidRPr="00B36510">
        <w:rPr>
          <w:rFonts w:eastAsia="Times New Roman" w:cstheme="minorHAnsi"/>
          <w:color w:val="333333"/>
        </w:rPr>
        <w:t>»</w:t>
      </w:r>
      <w:r w:rsidR="00C45D0E" w:rsidRPr="00B36510">
        <w:rPr>
          <w:rFonts w:eastAsia="Times New Roman" w:cstheme="minorHAnsi"/>
          <w:color w:val="333333"/>
        </w:rPr>
        <w:t xml:space="preserve"> тарифом</w:t>
      </w:r>
      <w:r w:rsidR="00564320" w:rsidRPr="00B36510">
        <w:rPr>
          <w:rFonts w:eastAsia="Times New Roman" w:cstheme="minorHAnsi"/>
          <w:color w:val="333333"/>
        </w:rPr>
        <w:t xml:space="preserve"> у такому періоді. З цією метою платники податку будуть здійснювати окремий облік нарахованого податку на прибуток за квартальний звітний період, та залишк</w:t>
      </w:r>
      <w:r w:rsidR="009F528A" w:rsidRPr="00B36510">
        <w:rPr>
          <w:rFonts w:eastAsia="Times New Roman" w:cstheme="minorHAnsi"/>
          <w:color w:val="333333"/>
        </w:rPr>
        <w:t>ів</w:t>
      </w:r>
      <w:r w:rsidR="00564320" w:rsidRPr="00B36510">
        <w:rPr>
          <w:rFonts w:eastAsia="Times New Roman" w:cstheme="minorHAnsi"/>
          <w:color w:val="333333"/>
        </w:rPr>
        <w:t xml:space="preserve"> податкового зобов’язання з податку на прибуток, що буде підлягати справлянню в періоди отримання оплати за електричну енергію за «зеленим» тарифом;</w:t>
      </w:r>
    </w:p>
    <w:p w14:paraId="0A3E6A4C" w14:textId="75C56FAC" w:rsidR="00116B49" w:rsidRPr="00B36510" w:rsidRDefault="00116B49" w:rsidP="009F528A">
      <w:pPr>
        <w:pStyle w:val="a3"/>
        <w:numPr>
          <w:ilvl w:val="0"/>
          <w:numId w:val="10"/>
        </w:numPr>
        <w:shd w:val="clear" w:color="auto" w:fill="FFFFFF"/>
        <w:spacing w:after="240" w:line="240" w:lineRule="auto"/>
        <w:jc w:val="both"/>
        <w:textAlignment w:val="baseline"/>
        <w:outlineLvl w:val="2"/>
        <w:rPr>
          <w:rFonts w:eastAsia="Times New Roman" w:cstheme="minorHAnsi"/>
          <w:color w:val="333333"/>
        </w:rPr>
      </w:pPr>
      <w:r w:rsidRPr="00B36510">
        <w:rPr>
          <w:rFonts w:eastAsia="Times New Roman" w:cstheme="minorHAnsi"/>
          <w:color w:val="333333"/>
        </w:rPr>
        <w:t>відміняється мораторій на проведення документальних (крім документальних перевірок платників податків з обсягом доходу до 20 мільйонів гривень за попередній календарний рік) та фактичних перевірок;</w:t>
      </w:r>
    </w:p>
    <w:p w14:paraId="1780A6CD" w14:textId="63612340" w:rsidR="00116B49" w:rsidRPr="00B36510" w:rsidRDefault="00116B49" w:rsidP="009F528A">
      <w:pPr>
        <w:pStyle w:val="a3"/>
        <w:numPr>
          <w:ilvl w:val="0"/>
          <w:numId w:val="10"/>
        </w:numPr>
        <w:shd w:val="clear" w:color="auto" w:fill="FFFFFF"/>
        <w:spacing w:after="240" w:line="240" w:lineRule="auto"/>
        <w:jc w:val="both"/>
        <w:textAlignment w:val="baseline"/>
        <w:outlineLvl w:val="2"/>
        <w:rPr>
          <w:rFonts w:eastAsia="Times New Roman" w:cstheme="minorHAnsi"/>
          <w:color w:val="333333"/>
        </w:rPr>
      </w:pPr>
      <w:r w:rsidRPr="00B36510">
        <w:rPr>
          <w:rFonts w:eastAsia="Times New Roman" w:cstheme="minorHAnsi"/>
          <w:color w:val="333333"/>
        </w:rPr>
        <w:t>відновлюються строки для розгляду скарг платників податків, надання індивідуальних податкових консультацій, направлення контролюючими органами запитів про надання інформації;</w:t>
      </w:r>
    </w:p>
    <w:p w14:paraId="6F481C04" w14:textId="7AFD6189" w:rsidR="00AC1584" w:rsidRPr="00B36510" w:rsidRDefault="0049265A" w:rsidP="009F528A">
      <w:pPr>
        <w:pStyle w:val="a3"/>
        <w:numPr>
          <w:ilvl w:val="0"/>
          <w:numId w:val="10"/>
        </w:numPr>
        <w:shd w:val="clear" w:color="auto" w:fill="FFFFFF"/>
        <w:spacing w:after="240" w:line="240" w:lineRule="auto"/>
        <w:jc w:val="both"/>
        <w:textAlignment w:val="baseline"/>
        <w:outlineLvl w:val="2"/>
        <w:rPr>
          <w:rFonts w:eastAsia="Times New Roman" w:cstheme="minorHAnsi"/>
          <w:color w:val="333333"/>
        </w:rPr>
      </w:pPr>
      <w:r w:rsidRPr="00B36510">
        <w:rPr>
          <w:rFonts w:eastAsia="Times New Roman" w:cstheme="minorHAnsi"/>
          <w:color w:val="333333"/>
        </w:rPr>
        <w:t>збільшуються розміри ставок екологічного податку</w:t>
      </w:r>
      <w:r w:rsidR="00564320" w:rsidRPr="00B36510">
        <w:rPr>
          <w:rFonts w:eastAsia="Times New Roman" w:cstheme="minorHAnsi"/>
          <w:color w:val="333333"/>
        </w:rPr>
        <w:t xml:space="preserve"> (зокрема</w:t>
      </w:r>
      <w:r w:rsidRPr="00B36510">
        <w:rPr>
          <w:rFonts w:eastAsia="Times New Roman" w:cstheme="minorHAnsi"/>
          <w:color w:val="333333"/>
        </w:rPr>
        <w:t>,</w:t>
      </w:r>
      <w:r w:rsidR="009F528A" w:rsidRPr="00B36510">
        <w:rPr>
          <w:rFonts w:eastAsia="Times New Roman" w:cstheme="minorHAnsi"/>
          <w:color w:val="333333"/>
        </w:rPr>
        <w:t xml:space="preserve"> ставк</w:t>
      </w:r>
      <w:r w:rsidR="009E50D8" w:rsidRPr="00B36510">
        <w:rPr>
          <w:rFonts w:eastAsia="Times New Roman" w:cstheme="minorHAnsi"/>
          <w:color w:val="333333"/>
        </w:rPr>
        <w:t>а</w:t>
      </w:r>
      <w:r w:rsidR="009F528A" w:rsidRPr="00B36510">
        <w:rPr>
          <w:rFonts w:eastAsia="Times New Roman" w:cstheme="minorHAnsi"/>
          <w:color w:val="333333"/>
        </w:rPr>
        <w:t xml:space="preserve"> податку за викиди двоокису вуглецю (СО2) збільшу</w:t>
      </w:r>
      <w:r w:rsidR="009E50D8" w:rsidRPr="00B36510">
        <w:rPr>
          <w:rFonts w:eastAsia="Times New Roman" w:cstheme="minorHAnsi"/>
          <w:color w:val="333333"/>
        </w:rPr>
        <w:t>ється у 3 рази</w:t>
      </w:r>
      <w:r w:rsidR="009F528A" w:rsidRPr="00B36510">
        <w:rPr>
          <w:rFonts w:eastAsia="Times New Roman" w:cstheme="minorHAnsi"/>
          <w:color w:val="333333"/>
        </w:rPr>
        <w:t xml:space="preserve"> поступово до 1 січня 2025 року), та ставок</w:t>
      </w:r>
      <w:r w:rsidRPr="00B36510">
        <w:rPr>
          <w:rFonts w:eastAsia="Times New Roman" w:cstheme="minorHAnsi"/>
          <w:color w:val="333333"/>
        </w:rPr>
        <w:t xml:space="preserve"> </w:t>
      </w:r>
      <w:r w:rsidR="00116B49" w:rsidRPr="00B36510">
        <w:rPr>
          <w:rFonts w:eastAsia="Times New Roman" w:cstheme="minorHAnsi"/>
          <w:color w:val="333333"/>
        </w:rPr>
        <w:t xml:space="preserve">рентної плати </w:t>
      </w:r>
      <w:r w:rsidR="00564320" w:rsidRPr="00B36510">
        <w:rPr>
          <w:rFonts w:eastAsia="Times New Roman" w:cstheme="minorHAnsi"/>
          <w:color w:val="333333"/>
        </w:rPr>
        <w:t xml:space="preserve">за </w:t>
      </w:r>
      <w:r w:rsidR="00AF6026" w:rsidRPr="00B36510">
        <w:rPr>
          <w:rFonts w:eastAsia="Times New Roman" w:cstheme="minorHAnsi"/>
          <w:color w:val="333333"/>
        </w:rPr>
        <w:t xml:space="preserve">спеціальне використання води </w:t>
      </w:r>
      <w:r w:rsidR="009F528A" w:rsidRPr="00B36510">
        <w:rPr>
          <w:rFonts w:eastAsia="Times New Roman" w:cstheme="minorHAnsi"/>
          <w:color w:val="333333"/>
        </w:rPr>
        <w:t>(зокрема, ставк</w:t>
      </w:r>
      <w:r w:rsidR="009E50D8" w:rsidRPr="00B36510">
        <w:rPr>
          <w:rFonts w:eastAsia="Times New Roman" w:cstheme="minorHAnsi"/>
          <w:color w:val="333333"/>
        </w:rPr>
        <w:t>а</w:t>
      </w:r>
      <w:r w:rsidR="009F528A" w:rsidRPr="00B36510">
        <w:rPr>
          <w:rFonts w:eastAsia="Times New Roman" w:cstheme="minorHAnsi"/>
          <w:color w:val="333333"/>
        </w:rPr>
        <w:t xml:space="preserve"> рентної плати за використання води </w:t>
      </w:r>
      <w:r w:rsidR="00AF6026" w:rsidRPr="00B36510">
        <w:rPr>
          <w:rFonts w:eastAsia="Times New Roman" w:cstheme="minorHAnsi"/>
          <w:color w:val="333333"/>
        </w:rPr>
        <w:t xml:space="preserve">для потреб </w:t>
      </w:r>
      <w:r w:rsidR="009E50D8" w:rsidRPr="00B36510">
        <w:rPr>
          <w:rFonts w:eastAsia="Times New Roman" w:cstheme="minorHAnsi"/>
          <w:color w:val="333333"/>
        </w:rPr>
        <w:t xml:space="preserve">об’єктів </w:t>
      </w:r>
      <w:r w:rsidR="00AF6026" w:rsidRPr="00B36510">
        <w:rPr>
          <w:rFonts w:eastAsia="Times New Roman" w:cstheme="minorHAnsi"/>
          <w:color w:val="333333"/>
        </w:rPr>
        <w:t>гідроенергетики</w:t>
      </w:r>
      <w:r w:rsidR="009F528A" w:rsidRPr="00B36510">
        <w:rPr>
          <w:rFonts w:eastAsia="Times New Roman" w:cstheme="minorHAnsi"/>
          <w:color w:val="333333"/>
        </w:rPr>
        <w:t xml:space="preserve"> збільш</w:t>
      </w:r>
      <w:r w:rsidR="009E50D8" w:rsidRPr="00B36510">
        <w:rPr>
          <w:rFonts w:eastAsia="Times New Roman" w:cstheme="minorHAnsi"/>
          <w:color w:val="333333"/>
        </w:rPr>
        <w:t>ується</w:t>
      </w:r>
      <w:r w:rsidR="009F528A" w:rsidRPr="00B36510">
        <w:rPr>
          <w:rFonts w:eastAsia="Times New Roman" w:cstheme="minorHAnsi"/>
          <w:color w:val="333333"/>
        </w:rPr>
        <w:t xml:space="preserve"> на 12%</w:t>
      </w:r>
      <w:r w:rsidR="009E50D8" w:rsidRPr="00B36510">
        <w:rPr>
          <w:rFonts w:eastAsia="Times New Roman" w:cstheme="minorHAnsi"/>
          <w:color w:val="333333"/>
        </w:rPr>
        <w:t>)</w:t>
      </w:r>
      <w:r w:rsidR="009F528A" w:rsidRPr="00B36510">
        <w:rPr>
          <w:rFonts w:eastAsia="Times New Roman" w:cstheme="minorHAnsi"/>
          <w:color w:val="333333"/>
        </w:rPr>
        <w:t>.</w:t>
      </w:r>
    </w:p>
    <w:p w14:paraId="7278A266" w14:textId="60877D10" w:rsidR="00AC1584" w:rsidRPr="00B36510" w:rsidRDefault="005E18E7" w:rsidP="005E18E7">
      <w:pPr>
        <w:shd w:val="clear" w:color="auto" w:fill="FFFFFF"/>
        <w:tabs>
          <w:tab w:val="left" w:pos="1580"/>
        </w:tabs>
        <w:spacing w:after="240" w:line="240" w:lineRule="auto"/>
        <w:jc w:val="both"/>
        <w:textAlignment w:val="baseline"/>
        <w:outlineLvl w:val="2"/>
        <w:rPr>
          <w:rFonts w:eastAsia="Times New Roman" w:cstheme="minorHAnsi"/>
          <w:b/>
          <w:bCs/>
          <w:color w:val="333333"/>
        </w:rPr>
      </w:pPr>
      <w:r w:rsidRPr="00B36510">
        <w:rPr>
          <w:rFonts w:eastAsia="Times New Roman" w:cstheme="minorHAnsi"/>
          <w:b/>
          <w:bCs/>
          <w:color w:val="333333"/>
        </w:rPr>
        <w:tab/>
      </w:r>
    </w:p>
    <w:p w14:paraId="57FF8ACC" w14:textId="134183B0" w:rsidR="008879A6" w:rsidRPr="00B36510" w:rsidRDefault="008879A6" w:rsidP="008879A6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eastAsia="Times New Roman" w:cstheme="minorHAnsi"/>
          <w:color w:val="333333"/>
        </w:rPr>
      </w:pPr>
      <w:r w:rsidRPr="00B36510">
        <w:rPr>
          <w:rFonts w:eastAsia="Times New Roman" w:cstheme="minorHAnsi"/>
          <w:b/>
          <w:bCs/>
          <w:i/>
          <w:iCs/>
          <w:color w:val="333333"/>
        </w:rPr>
        <w:lastRenderedPageBreak/>
        <w:t>Реєстраційний № 4346 та № 4347 від 09.11.2020</w:t>
      </w:r>
      <w:r w:rsidRPr="00B36510">
        <w:rPr>
          <w:rFonts w:eastAsia="Times New Roman" w:cstheme="minorHAnsi"/>
          <w:b/>
          <w:bCs/>
          <w:color w:val="333333"/>
        </w:rPr>
        <w:t xml:space="preserve"> </w:t>
      </w:r>
      <w:r w:rsidRPr="00B36510">
        <w:rPr>
          <w:rFonts w:eastAsia="Times New Roman" w:cstheme="minorHAnsi"/>
          <w:color w:val="333333"/>
        </w:rPr>
        <w:t xml:space="preserve">– проєкт Закону про внесення змін до Податкового кодексу України щодо перегляду ставок екологічного податку та проєкт Закону про внесення змін до Бюджетного кодексу України щодо запровадження державного фонду декарбонізації. </w:t>
      </w:r>
    </w:p>
    <w:p w14:paraId="6ADBC740" w14:textId="1CDD618B" w:rsidR="008879A6" w:rsidRPr="00B36510" w:rsidRDefault="008879A6" w:rsidP="008879A6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eastAsia="Times New Roman" w:cstheme="minorHAnsi"/>
          <w:color w:val="333333"/>
        </w:rPr>
      </w:pPr>
      <w:r w:rsidRPr="00B36510">
        <w:rPr>
          <w:rFonts w:eastAsia="Times New Roman" w:cstheme="minorHAnsi"/>
          <w:color w:val="333333"/>
        </w:rPr>
        <w:t xml:space="preserve">Проєкти законів є взаємно </w:t>
      </w:r>
      <w:r w:rsidR="007F5953" w:rsidRPr="00B36510">
        <w:rPr>
          <w:rFonts w:eastAsia="Times New Roman" w:cstheme="minorHAnsi"/>
          <w:color w:val="333333"/>
        </w:rPr>
        <w:t>пов’язаними</w:t>
      </w:r>
      <w:r w:rsidRPr="00B36510">
        <w:rPr>
          <w:rFonts w:eastAsia="Times New Roman" w:cstheme="minorHAnsi"/>
          <w:color w:val="333333"/>
        </w:rPr>
        <w:t xml:space="preserve">. </w:t>
      </w:r>
      <w:r w:rsidR="007F5953" w:rsidRPr="00B36510">
        <w:rPr>
          <w:rFonts w:eastAsia="Times New Roman" w:cstheme="minorHAnsi"/>
          <w:color w:val="333333"/>
        </w:rPr>
        <w:t xml:space="preserve">Законопроєктами передбачено підвищення </w:t>
      </w:r>
      <w:r w:rsidR="0094527F" w:rsidRPr="00B36510">
        <w:rPr>
          <w:rFonts w:eastAsia="Times New Roman" w:cstheme="minorHAnsi"/>
          <w:color w:val="333333"/>
        </w:rPr>
        <w:t xml:space="preserve">з 1 січня 2021 року </w:t>
      </w:r>
      <w:r w:rsidR="007F5953" w:rsidRPr="00B36510">
        <w:rPr>
          <w:rFonts w:eastAsia="Times New Roman" w:cstheme="minorHAnsi"/>
          <w:color w:val="333333"/>
        </w:rPr>
        <w:t>ставки податку за викиди двоокису вуглецю</w:t>
      </w:r>
      <w:r w:rsidR="0094527F" w:rsidRPr="00B36510">
        <w:rPr>
          <w:rFonts w:eastAsia="Times New Roman" w:cstheme="minorHAnsi"/>
          <w:color w:val="333333"/>
        </w:rPr>
        <w:t xml:space="preserve"> (</w:t>
      </w:r>
      <w:r w:rsidR="007F5953" w:rsidRPr="00B36510">
        <w:rPr>
          <w:rFonts w:eastAsia="Times New Roman" w:cstheme="minorHAnsi"/>
          <w:color w:val="333333"/>
        </w:rPr>
        <w:t>з 10 грн. до 30 грн. за 1 тонну викидів</w:t>
      </w:r>
      <w:r w:rsidR="0094527F" w:rsidRPr="00B36510">
        <w:rPr>
          <w:rFonts w:eastAsia="Times New Roman" w:cstheme="minorHAnsi"/>
          <w:color w:val="333333"/>
        </w:rPr>
        <w:t xml:space="preserve">) </w:t>
      </w:r>
      <w:r w:rsidR="007F5953" w:rsidRPr="00B36510">
        <w:rPr>
          <w:rFonts w:eastAsia="Times New Roman" w:cstheme="minorHAnsi"/>
          <w:color w:val="333333"/>
        </w:rPr>
        <w:t xml:space="preserve">та спрямування 50% цього податку до Державного фонду декарбонізації, який утворюється у складі спеціального фонду Державного бюджету. Орієнтовний обсяг коштів фонду визначено </w:t>
      </w:r>
      <w:r w:rsidRPr="00B36510">
        <w:rPr>
          <w:rFonts w:eastAsia="Times New Roman" w:cstheme="minorHAnsi"/>
          <w:color w:val="333333"/>
        </w:rPr>
        <w:t>(близько 1,35 млрд грн)</w:t>
      </w:r>
      <w:r w:rsidR="007F5953" w:rsidRPr="00B36510">
        <w:rPr>
          <w:rFonts w:eastAsia="Times New Roman" w:cstheme="minorHAnsi"/>
          <w:color w:val="333333"/>
        </w:rPr>
        <w:t xml:space="preserve">. Цільове призначення коштів фонду - </w:t>
      </w:r>
      <w:r w:rsidRPr="00B36510">
        <w:rPr>
          <w:rFonts w:eastAsia="Times New Roman" w:cstheme="minorHAnsi"/>
          <w:color w:val="333333"/>
        </w:rPr>
        <w:t>співфінансування (здешевлення) проектів (заходів), що призводять до скорочення викидів двоокису вуглецю.</w:t>
      </w:r>
      <w:r w:rsidR="0094527F" w:rsidRPr="00B36510">
        <w:rPr>
          <w:rFonts w:eastAsia="Times New Roman" w:cstheme="minorHAnsi"/>
          <w:color w:val="333333"/>
        </w:rPr>
        <w:t xml:space="preserve"> КМУ визначає порядок використання коштів фонду декарбонізації. </w:t>
      </w:r>
    </w:p>
    <w:p w14:paraId="0EF84D3B" w14:textId="18120BBF" w:rsidR="00B07E13" w:rsidRPr="00B36510" w:rsidRDefault="0094527F" w:rsidP="00B07E13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eastAsia="Times New Roman" w:cstheme="minorHAnsi"/>
          <w:color w:val="333333"/>
        </w:rPr>
      </w:pPr>
      <w:r w:rsidRPr="00B36510">
        <w:rPr>
          <w:rFonts w:eastAsia="Times New Roman" w:cstheme="minorHAnsi"/>
          <w:color w:val="333333"/>
        </w:rPr>
        <w:t xml:space="preserve">Проєктом закону не визначено які саме проекти (заходи) з тих, що призводять до скорочення викидів двоокису вуглецю, будуть фінансуватись за рахунок фонду декарбонізації. </w:t>
      </w:r>
      <w:r w:rsidR="00B07E13" w:rsidRPr="00B36510">
        <w:rPr>
          <w:rFonts w:eastAsia="Times New Roman" w:cstheme="minorHAnsi"/>
          <w:color w:val="333333"/>
        </w:rPr>
        <w:t>В той же час Міненерго заявило</w:t>
      </w:r>
      <w:r w:rsidR="00B07E13" w:rsidRPr="00B36510">
        <w:rPr>
          <w:rStyle w:val="ae"/>
          <w:rFonts w:eastAsia="Times New Roman" w:cstheme="minorHAnsi"/>
          <w:color w:val="333333"/>
        </w:rPr>
        <w:footnoteReference w:id="1"/>
      </w:r>
      <w:r w:rsidR="00B07E13" w:rsidRPr="00B36510">
        <w:rPr>
          <w:rFonts w:eastAsia="Times New Roman" w:cstheme="minorHAnsi"/>
          <w:color w:val="333333"/>
        </w:rPr>
        <w:t>, що розглядаються сім напрямків, які мають енергоефективний, екологічний та соціальний ефекти,  це:</w:t>
      </w:r>
    </w:p>
    <w:p w14:paraId="588F86F2" w14:textId="1E3A0CE8" w:rsidR="00B07E13" w:rsidRPr="00B36510" w:rsidRDefault="00B07E13" w:rsidP="009E50D8">
      <w:pPr>
        <w:pStyle w:val="a3"/>
        <w:numPr>
          <w:ilvl w:val="0"/>
          <w:numId w:val="13"/>
        </w:numPr>
        <w:shd w:val="clear" w:color="auto" w:fill="FFFFFF"/>
        <w:spacing w:after="240" w:line="240" w:lineRule="auto"/>
        <w:jc w:val="both"/>
        <w:textAlignment w:val="baseline"/>
        <w:outlineLvl w:val="2"/>
        <w:rPr>
          <w:rFonts w:eastAsia="Times New Roman" w:cstheme="minorHAnsi"/>
          <w:color w:val="333333"/>
        </w:rPr>
      </w:pPr>
      <w:r w:rsidRPr="00B36510">
        <w:rPr>
          <w:rFonts w:eastAsia="Times New Roman" w:cstheme="minorHAnsi"/>
          <w:color w:val="333333"/>
        </w:rPr>
        <w:t>Проекти із екомодернізації генеруючих підприємств;</w:t>
      </w:r>
    </w:p>
    <w:p w14:paraId="431803CF" w14:textId="70C6EE0C" w:rsidR="00B07E13" w:rsidRPr="00B36510" w:rsidRDefault="00B07E13" w:rsidP="009E50D8">
      <w:pPr>
        <w:pStyle w:val="a3"/>
        <w:numPr>
          <w:ilvl w:val="0"/>
          <w:numId w:val="13"/>
        </w:numPr>
        <w:shd w:val="clear" w:color="auto" w:fill="FFFFFF"/>
        <w:spacing w:after="240" w:line="240" w:lineRule="auto"/>
        <w:jc w:val="both"/>
        <w:textAlignment w:val="baseline"/>
        <w:outlineLvl w:val="2"/>
        <w:rPr>
          <w:rFonts w:eastAsia="Times New Roman" w:cstheme="minorHAnsi"/>
          <w:color w:val="333333"/>
        </w:rPr>
      </w:pPr>
      <w:r w:rsidRPr="00B36510">
        <w:rPr>
          <w:rFonts w:eastAsia="Times New Roman" w:cstheme="minorHAnsi"/>
          <w:color w:val="333333"/>
        </w:rPr>
        <w:t>Модернізація тепломереж, водоканалів, вуличного освітлення;</w:t>
      </w:r>
    </w:p>
    <w:p w14:paraId="21943608" w14:textId="237B6F01" w:rsidR="00B07E13" w:rsidRPr="00B36510" w:rsidRDefault="00B07E13" w:rsidP="009E50D8">
      <w:pPr>
        <w:pStyle w:val="a3"/>
        <w:numPr>
          <w:ilvl w:val="0"/>
          <w:numId w:val="13"/>
        </w:numPr>
        <w:shd w:val="clear" w:color="auto" w:fill="FFFFFF"/>
        <w:spacing w:after="240" w:line="240" w:lineRule="auto"/>
        <w:jc w:val="both"/>
        <w:textAlignment w:val="baseline"/>
        <w:outlineLvl w:val="2"/>
        <w:rPr>
          <w:rFonts w:eastAsia="Times New Roman" w:cstheme="minorHAnsi"/>
          <w:color w:val="333333"/>
        </w:rPr>
      </w:pPr>
      <w:r w:rsidRPr="00B36510">
        <w:rPr>
          <w:rFonts w:eastAsia="Times New Roman" w:cstheme="minorHAnsi"/>
          <w:color w:val="333333"/>
        </w:rPr>
        <w:t>Здешевлення проектів із утилізації (переробки) побутових відходів;</w:t>
      </w:r>
    </w:p>
    <w:p w14:paraId="15D58F41" w14:textId="54B26A0E" w:rsidR="00B07E13" w:rsidRPr="00B36510" w:rsidRDefault="00B07E13" w:rsidP="009E50D8">
      <w:pPr>
        <w:pStyle w:val="a3"/>
        <w:numPr>
          <w:ilvl w:val="0"/>
          <w:numId w:val="13"/>
        </w:numPr>
        <w:shd w:val="clear" w:color="auto" w:fill="FFFFFF"/>
        <w:spacing w:after="240" w:line="240" w:lineRule="auto"/>
        <w:jc w:val="both"/>
        <w:textAlignment w:val="baseline"/>
        <w:outlineLvl w:val="2"/>
        <w:rPr>
          <w:rFonts w:eastAsia="Times New Roman" w:cstheme="minorHAnsi"/>
          <w:color w:val="333333"/>
        </w:rPr>
      </w:pPr>
      <w:r w:rsidRPr="00B36510">
        <w:rPr>
          <w:rFonts w:eastAsia="Times New Roman" w:cstheme="minorHAnsi"/>
          <w:color w:val="333333"/>
        </w:rPr>
        <w:t>Електробуси для громадського транспорту;</w:t>
      </w:r>
    </w:p>
    <w:p w14:paraId="49937D21" w14:textId="345AEE1D" w:rsidR="00B07E13" w:rsidRPr="00B36510" w:rsidRDefault="00B07E13" w:rsidP="009E50D8">
      <w:pPr>
        <w:pStyle w:val="a3"/>
        <w:numPr>
          <w:ilvl w:val="0"/>
          <w:numId w:val="13"/>
        </w:numPr>
        <w:shd w:val="clear" w:color="auto" w:fill="FFFFFF"/>
        <w:spacing w:after="240" w:line="240" w:lineRule="auto"/>
        <w:jc w:val="both"/>
        <w:textAlignment w:val="baseline"/>
        <w:outlineLvl w:val="2"/>
        <w:rPr>
          <w:rFonts w:eastAsia="Times New Roman" w:cstheme="minorHAnsi"/>
          <w:color w:val="333333"/>
        </w:rPr>
      </w:pPr>
      <w:r w:rsidRPr="00B36510">
        <w:rPr>
          <w:rFonts w:eastAsia="Times New Roman" w:cstheme="minorHAnsi"/>
          <w:color w:val="333333"/>
        </w:rPr>
        <w:t>Стимулювання використання приватних електрокарів населенням;</w:t>
      </w:r>
    </w:p>
    <w:p w14:paraId="7DD05239" w14:textId="570C1F83" w:rsidR="00B07E13" w:rsidRPr="00B36510" w:rsidRDefault="00B07E13" w:rsidP="009E50D8">
      <w:pPr>
        <w:pStyle w:val="a3"/>
        <w:numPr>
          <w:ilvl w:val="0"/>
          <w:numId w:val="13"/>
        </w:numPr>
        <w:shd w:val="clear" w:color="auto" w:fill="FFFFFF"/>
        <w:spacing w:after="240" w:line="240" w:lineRule="auto"/>
        <w:jc w:val="both"/>
        <w:textAlignment w:val="baseline"/>
        <w:outlineLvl w:val="2"/>
        <w:rPr>
          <w:rFonts w:eastAsia="Times New Roman" w:cstheme="minorHAnsi"/>
          <w:color w:val="333333"/>
        </w:rPr>
      </w:pPr>
      <w:r w:rsidRPr="00B36510">
        <w:rPr>
          <w:rFonts w:eastAsia="Times New Roman" w:cstheme="minorHAnsi"/>
          <w:color w:val="333333"/>
        </w:rPr>
        <w:t>Проекти  із заміщення традиційних видів палива в бюджетній сфері;</w:t>
      </w:r>
    </w:p>
    <w:p w14:paraId="64F2DEE9" w14:textId="269E6027" w:rsidR="00B07E13" w:rsidRPr="00B36510" w:rsidRDefault="00B07E13" w:rsidP="009E50D8">
      <w:pPr>
        <w:pStyle w:val="a3"/>
        <w:numPr>
          <w:ilvl w:val="0"/>
          <w:numId w:val="13"/>
        </w:numPr>
        <w:shd w:val="clear" w:color="auto" w:fill="FFFFFF"/>
        <w:spacing w:after="240" w:line="240" w:lineRule="auto"/>
        <w:jc w:val="both"/>
        <w:textAlignment w:val="baseline"/>
        <w:outlineLvl w:val="2"/>
        <w:rPr>
          <w:rFonts w:eastAsia="Times New Roman" w:cstheme="minorHAnsi"/>
          <w:color w:val="333333"/>
        </w:rPr>
      </w:pPr>
      <w:r w:rsidRPr="00B36510">
        <w:rPr>
          <w:rFonts w:eastAsia="Times New Roman" w:cstheme="minorHAnsi"/>
          <w:color w:val="333333"/>
        </w:rPr>
        <w:t>Стимулювання виробництва та використання біоетанолу, біогазу.</w:t>
      </w:r>
    </w:p>
    <w:p w14:paraId="3BC05579" w14:textId="494708D8" w:rsidR="00B07E13" w:rsidRPr="00B36510" w:rsidRDefault="00B07E13" w:rsidP="00B07E13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eastAsia="Times New Roman" w:cstheme="minorHAnsi"/>
          <w:color w:val="333333"/>
        </w:rPr>
      </w:pPr>
      <w:r w:rsidRPr="00B36510">
        <w:rPr>
          <w:rFonts w:eastAsia="Times New Roman" w:cstheme="minorHAnsi"/>
          <w:color w:val="333333"/>
        </w:rPr>
        <w:t>Проте цей список не є вичерпним і може бути доповненим.</w:t>
      </w:r>
    </w:p>
    <w:p w14:paraId="1B0806FC" w14:textId="77777777" w:rsidR="0066398A" w:rsidRPr="00B36510" w:rsidRDefault="0066398A" w:rsidP="0066398A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0EAEDEF3" w14:textId="2150277F" w:rsidR="001C569F" w:rsidRPr="00B36510" w:rsidRDefault="001C569F" w:rsidP="0066398A">
      <w:pPr>
        <w:jc w:val="both"/>
        <w:rPr>
          <w:rFonts w:cstheme="minorHAnsi"/>
          <w:b/>
          <w:bCs/>
          <w:sz w:val="24"/>
          <w:szCs w:val="24"/>
        </w:rPr>
      </w:pPr>
      <w:r w:rsidRPr="00B36510">
        <w:rPr>
          <w:rFonts w:cstheme="minorHAnsi"/>
          <w:b/>
          <w:bCs/>
          <w:sz w:val="24"/>
          <w:szCs w:val="24"/>
        </w:rPr>
        <w:t>Національна комісія, що здійснює державне регулювання у сферах енергетики та комунальних послуг</w:t>
      </w:r>
    </w:p>
    <w:p w14:paraId="65ABC819" w14:textId="29765BE1" w:rsidR="001C569F" w:rsidRPr="00B36510" w:rsidRDefault="001C569F" w:rsidP="0066398A">
      <w:pPr>
        <w:jc w:val="both"/>
        <w:rPr>
          <w:rFonts w:cstheme="minorHAnsi"/>
          <w:b/>
          <w:bCs/>
        </w:rPr>
      </w:pPr>
      <w:r w:rsidRPr="00B36510">
        <w:rPr>
          <w:rFonts w:cstheme="minorHAnsi"/>
          <w:b/>
          <w:bCs/>
        </w:rPr>
        <w:t>Прийняті рішення</w:t>
      </w:r>
    </w:p>
    <w:p w14:paraId="20D05867" w14:textId="4BDCD0F2" w:rsidR="00C351FA" w:rsidRPr="00B36510" w:rsidRDefault="00C2211E" w:rsidP="0066398A">
      <w:pPr>
        <w:jc w:val="both"/>
        <w:rPr>
          <w:rFonts w:eastAsia="Calibri" w:cstheme="minorHAnsi"/>
          <w:b/>
          <w:bCs/>
          <w:i/>
          <w:iCs/>
        </w:rPr>
      </w:pPr>
      <w:r w:rsidRPr="00B36510">
        <w:rPr>
          <w:rFonts w:cstheme="minorHAnsi"/>
          <w:b/>
          <w:bCs/>
          <w:i/>
          <w:iCs/>
        </w:rPr>
        <w:t>На засіданні 1</w:t>
      </w:r>
      <w:r w:rsidRPr="00B36510">
        <w:rPr>
          <w:rFonts w:eastAsia="Calibri" w:cstheme="minorHAnsi"/>
          <w:b/>
          <w:bCs/>
          <w:i/>
          <w:iCs/>
        </w:rPr>
        <w:t>1 ли</w:t>
      </w:r>
      <w:r w:rsidR="00C351FA" w:rsidRPr="00B36510">
        <w:rPr>
          <w:rFonts w:eastAsia="Calibri" w:cstheme="minorHAnsi"/>
          <w:b/>
          <w:bCs/>
          <w:i/>
          <w:iCs/>
        </w:rPr>
        <w:t xml:space="preserve">стопада 2020 року </w:t>
      </w:r>
      <w:r w:rsidRPr="00B36510">
        <w:rPr>
          <w:rFonts w:eastAsia="Calibri" w:cstheme="minorHAnsi"/>
          <w:b/>
          <w:bCs/>
          <w:i/>
          <w:iCs/>
        </w:rPr>
        <w:t>НКРЕКП</w:t>
      </w:r>
      <w:r w:rsidR="00C351FA" w:rsidRPr="00B36510">
        <w:rPr>
          <w:rFonts w:eastAsia="Calibri" w:cstheme="minorHAnsi"/>
          <w:b/>
          <w:bCs/>
          <w:i/>
          <w:iCs/>
        </w:rPr>
        <w:t xml:space="preserve"> п</w:t>
      </w:r>
      <w:r w:rsidRPr="00B36510">
        <w:rPr>
          <w:rFonts w:eastAsia="Calibri" w:cstheme="minorHAnsi"/>
          <w:b/>
          <w:bCs/>
          <w:i/>
          <w:iCs/>
        </w:rPr>
        <w:t xml:space="preserve">рийнято постанову </w:t>
      </w:r>
      <w:r w:rsidR="00C351FA" w:rsidRPr="00B36510">
        <w:rPr>
          <w:rFonts w:eastAsia="Calibri" w:cstheme="minorHAnsi"/>
          <w:b/>
          <w:bCs/>
          <w:i/>
          <w:iCs/>
        </w:rPr>
        <w:t>«Про внесення змін до Правил ринку».</w:t>
      </w:r>
      <w:r w:rsidR="009E50D8" w:rsidRPr="00B36510">
        <w:rPr>
          <w:rFonts w:eastAsia="Calibri" w:cstheme="minorHAnsi"/>
          <w:b/>
          <w:bCs/>
          <w:i/>
          <w:iCs/>
        </w:rPr>
        <w:t xml:space="preserve"> Постанова набирає чинності з дати її оприлюднення на веб-сайті НКРЕКП.</w:t>
      </w:r>
    </w:p>
    <w:p w14:paraId="44831B06" w14:textId="6D435620" w:rsidR="00C351FA" w:rsidRPr="00B36510" w:rsidRDefault="00C351FA" w:rsidP="00C351FA">
      <w:pPr>
        <w:jc w:val="both"/>
        <w:rPr>
          <w:rFonts w:eastAsia="Calibri" w:cstheme="minorHAnsi"/>
        </w:rPr>
      </w:pPr>
      <w:r w:rsidRPr="00B36510">
        <w:rPr>
          <w:rFonts w:eastAsia="Calibri" w:cstheme="minorHAnsi"/>
        </w:rPr>
        <w:t xml:space="preserve">Зазначеним рішенням НКРЕКП запроваджує механізм відшкодування виробникам ВДЕ вартості електричної енергії, не відпущеної внаслідок виконання команди ОСП на зменшення навантаження. </w:t>
      </w:r>
      <w:r w:rsidR="00696C1C" w:rsidRPr="00B36510">
        <w:rPr>
          <w:rFonts w:eastAsia="Calibri" w:cstheme="minorHAnsi"/>
        </w:rPr>
        <w:t>Запропонований механізм відшкодування недовідпуску електричної енергії є тимчасовим та буде діяти до 1 січня 2021 року</w:t>
      </w:r>
      <w:r w:rsidR="00696C1C" w:rsidRPr="00B36510">
        <w:rPr>
          <w:rStyle w:val="ae"/>
          <w:rFonts w:eastAsia="Calibri" w:cstheme="minorHAnsi"/>
        </w:rPr>
        <w:footnoteReference w:id="2"/>
      </w:r>
      <w:r w:rsidR="00696C1C" w:rsidRPr="00B36510">
        <w:rPr>
          <w:rFonts w:eastAsia="Calibri" w:cstheme="minorHAnsi"/>
        </w:rPr>
        <w:t>.</w:t>
      </w:r>
    </w:p>
    <w:p w14:paraId="02F23BB0" w14:textId="510020C6" w:rsidR="00696C1C" w:rsidRPr="00B36510" w:rsidRDefault="00C351FA" w:rsidP="00C351FA">
      <w:pPr>
        <w:jc w:val="both"/>
        <w:rPr>
          <w:rFonts w:eastAsia="Calibri" w:cstheme="minorHAnsi"/>
        </w:rPr>
      </w:pPr>
      <w:r w:rsidRPr="00B36510">
        <w:rPr>
          <w:rFonts w:eastAsia="Calibri" w:cstheme="minorHAnsi"/>
        </w:rPr>
        <w:t xml:space="preserve">Цей механізм передбачає оплату </w:t>
      </w:r>
      <w:r w:rsidR="00696C1C" w:rsidRPr="00B36510">
        <w:rPr>
          <w:rFonts w:eastAsia="Calibri" w:cstheme="minorHAnsi"/>
        </w:rPr>
        <w:t xml:space="preserve">виробникам ВДЕ </w:t>
      </w:r>
      <w:r w:rsidRPr="00B36510">
        <w:rPr>
          <w:rFonts w:eastAsia="Calibri" w:cstheme="minorHAnsi"/>
        </w:rPr>
        <w:t>недовідпуску</w:t>
      </w:r>
      <w:r w:rsidR="00696C1C" w:rsidRPr="00B36510">
        <w:rPr>
          <w:rFonts w:eastAsia="Calibri" w:cstheme="minorHAnsi"/>
        </w:rPr>
        <w:t xml:space="preserve"> електричної енергії</w:t>
      </w:r>
      <w:r w:rsidRPr="00B36510">
        <w:rPr>
          <w:rFonts w:eastAsia="Calibri" w:cstheme="minorHAnsi"/>
        </w:rPr>
        <w:t xml:space="preserve"> в межах договору про врегулювання небалансів електричної енергії, який уклада</w:t>
      </w:r>
      <w:r w:rsidR="009E50D8" w:rsidRPr="00B36510">
        <w:rPr>
          <w:rFonts w:eastAsia="Calibri" w:cstheme="minorHAnsi"/>
        </w:rPr>
        <w:t xml:space="preserve">ється </w:t>
      </w:r>
      <w:r w:rsidRPr="00B36510">
        <w:rPr>
          <w:rFonts w:eastAsia="Calibri" w:cstheme="minorHAnsi"/>
        </w:rPr>
        <w:t>всіма виробниками ВДЕ з ОСП під час вступу в ринок.  НКРЕКП</w:t>
      </w:r>
      <w:r w:rsidR="00696C1C" w:rsidRPr="00B36510">
        <w:rPr>
          <w:rFonts w:eastAsia="Calibri" w:cstheme="minorHAnsi"/>
        </w:rPr>
        <w:t xml:space="preserve"> своїм рішенням також</w:t>
      </w:r>
      <w:r w:rsidRPr="00B36510">
        <w:rPr>
          <w:rFonts w:eastAsia="Calibri" w:cstheme="minorHAnsi"/>
        </w:rPr>
        <w:t xml:space="preserve"> затвердив Методику розрахунку обсягу не відпущеної виробниками ВДЕ електричної енергії, яка буде окремим  додатком до Правил ринку.</w:t>
      </w:r>
      <w:r w:rsidR="00696C1C" w:rsidRPr="00B36510">
        <w:rPr>
          <w:rFonts w:eastAsia="Calibri" w:cstheme="minorHAnsi"/>
        </w:rPr>
        <w:t xml:space="preserve"> Зазначена Методика буде застосовуватись</w:t>
      </w:r>
      <w:r w:rsidR="009E50D8" w:rsidRPr="00B36510">
        <w:rPr>
          <w:rFonts w:eastAsia="Calibri" w:cstheme="minorHAnsi"/>
        </w:rPr>
        <w:t xml:space="preserve"> також</w:t>
      </w:r>
      <w:r w:rsidR="00696C1C" w:rsidRPr="00B36510">
        <w:rPr>
          <w:rFonts w:eastAsia="Calibri" w:cstheme="minorHAnsi"/>
        </w:rPr>
        <w:t xml:space="preserve"> для визначення обсягів не відпущеної </w:t>
      </w:r>
      <w:r w:rsidR="009E50D8" w:rsidRPr="00B36510">
        <w:rPr>
          <w:rFonts w:eastAsia="Calibri" w:cstheme="minorHAnsi"/>
        </w:rPr>
        <w:t xml:space="preserve">у </w:t>
      </w:r>
      <w:r w:rsidR="009E50D8" w:rsidRPr="00B36510">
        <w:rPr>
          <w:rFonts w:eastAsia="Calibri" w:cstheme="minorHAnsi"/>
        </w:rPr>
        <w:lastRenderedPageBreak/>
        <w:t xml:space="preserve">2019 році </w:t>
      </w:r>
      <w:r w:rsidR="00696C1C" w:rsidRPr="00B36510">
        <w:rPr>
          <w:rFonts w:eastAsia="Calibri" w:cstheme="minorHAnsi"/>
        </w:rPr>
        <w:t xml:space="preserve">електричної енергії при визначенні </w:t>
      </w:r>
      <w:r w:rsidR="009E50D8" w:rsidRPr="00B36510">
        <w:rPr>
          <w:rFonts w:eastAsia="Calibri" w:cstheme="minorHAnsi"/>
        </w:rPr>
        <w:t xml:space="preserve">виробниками ВДЕ </w:t>
      </w:r>
      <w:r w:rsidR="00696C1C" w:rsidRPr="00B36510">
        <w:rPr>
          <w:rFonts w:eastAsia="Calibri" w:cstheme="minorHAnsi"/>
        </w:rPr>
        <w:t xml:space="preserve">розміру відшкодування за недовідпуск </w:t>
      </w:r>
      <w:r w:rsidR="009E50D8" w:rsidRPr="00B36510">
        <w:rPr>
          <w:rFonts w:eastAsia="Calibri" w:cstheme="minorHAnsi"/>
        </w:rPr>
        <w:t xml:space="preserve">у </w:t>
      </w:r>
      <w:r w:rsidR="00696C1C" w:rsidRPr="00B36510">
        <w:rPr>
          <w:rFonts w:eastAsia="Calibri" w:cstheme="minorHAnsi"/>
        </w:rPr>
        <w:t xml:space="preserve">2019 році. </w:t>
      </w:r>
    </w:p>
    <w:p w14:paraId="276F0031" w14:textId="76320685" w:rsidR="009E50D8" w:rsidRPr="00B36510" w:rsidRDefault="009E50D8" w:rsidP="009E50D8">
      <w:pPr>
        <w:jc w:val="both"/>
      </w:pPr>
      <w:r w:rsidRPr="00B36510">
        <w:t>Відносно періоду з 1 січня 2020 року до дати набрання чинності рішення НКРЕКП про затвердження тимчасового механізму, то питання відшкодування виробникам ВДЕ за цей період залишається неурегульованим.</w:t>
      </w:r>
    </w:p>
    <w:p w14:paraId="035A8E22" w14:textId="77777777" w:rsidR="00C351FA" w:rsidRPr="00B36510" w:rsidRDefault="00C351FA" w:rsidP="0066398A">
      <w:pPr>
        <w:jc w:val="both"/>
        <w:rPr>
          <w:rFonts w:eastAsia="Calibri" w:cstheme="minorHAnsi"/>
          <w:b/>
          <w:bCs/>
          <w:i/>
          <w:iCs/>
        </w:rPr>
      </w:pPr>
    </w:p>
    <w:p w14:paraId="59677878" w14:textId="6F722F03" w:rsidR="001C569F" w:rsidRPr="00B36510" w:rsidRDefault="001C569F" w:rsidP="0066398A">
      <w:pPr>
        <w:jc w:val="both"/>
        <w:rPr>
          <w:rFonts w:cstheme="minorHAnsi"/>
          <w:b/>
          <w:bCs/>
        </w:rPr>
      </w:pPr>
      <w:r w:rsidRPr="00B36510">
        <w:rPr>
          <w:rFonts w:cstheme="minorHAnsi"/>
          <w:b/>
          <w:bCs/>
        </w:rPr>
        <w:t>Оприлюднен</w:t>
      </w:r>
      <w:r w:rsidR="0066398A" w:rsidRPr="00B36510">
        <w:rPr>
          <w:rFonts w:cstheme="minorHAnsi"/>
          <w:b/>
          <w:bCs/>
        </w:rPr>
        <w:t>і</w:t>
      </w:r>
      <w:r w:rsidRPr="00B36510">
        <w:rPr>
          <w:rFonts w:cstheme="minorHAnsi"/>
          <w:b/>
          <w:bCs/>
        </w:rPr>
        <w:t xml:space="preserve"> проект</w:t>
      </w:r>
      <w:r w:rsidR="0066398A" w:rsidRPr="00B36510">
        <w:rPr>
          <w:rFonts w:cstheme="minorHAnsi"/>
          <w:b/>
          <w:bCs/>
        </w:rPr>
        <w:t>и</w:t>
      </w:r>
      <w:r w:rsidRPr="00B36510">
        <w:rPr>
          <w:rFonts w:cstheme="minorHAnsi"/>
          <w:b/>
          <w:bCs/>
        </w:rPr>
        <w:t xml:space="preserve"> нормативно-правових актів з метою їх обговорення </w:t>
      </w:r>
    </w:p>
    <w:p w14:paraId="5D5D35A7" w14:textId="62B15A11" w:rsidR="000E1859" w:rsidRPr="00B36510" w:rsidRDefault="00637281" w:rsidP="000E1859">
      <w:pPr>
        <w:jc w:val="both"/>
        <w:rPr>
          <w:rFonts w:cstheme="minorHAnsi"/>
        </w:rPr>
      </w:pPr>
      <w:r w:rsidRPr="00B36510">
        <w:rPr>
          <w:rFonts w:cstheme="minorHAnsi"/>
          <w:b/>
          <w:bCs/>
          <w:i/>
          <w:iCs/>
        </w:rPr>
        <w:t xml:space="preserve">04 листопада 2020 року НКРЕКП </w:t>
      </w:r>
      <w:r w:rsidR="001C569F" w:rsidRPr="00B36510">
        <w:rPr>
          <w:rFonts w:cstheme="minorHAnsi"/>
          <w:b/>
          <w:bCs/>
          <w:i/>
          <w:iCs/>
        </w:rPr>
        <w:t>оприлюднено про</w:t>
      </w:r>
      <w:r w:rsidR="00513A54" w:rsidRPr="00B36510">
        <w:rPr>
          <w:rFonts w:cstheme="minorHAnsi"/>
          <w:b/>
          <w:bCs/>
          <w:i/>
          <w:iCs/>
        </w:rPr>
        <w:t>є</w:t>
      </w:r>
      <w:r w:rsidR="001C569F" w:rsidRPr="00B36510">
        <w:rPr>
          <w:rFonts w:cstheme="minorHAnsi"/>
          <w:b/>
          <w:bCs/>
          <w:i/>
          <w:iCs/>
        </w:rPr>
        <w:t xml:space="preserve">кт </w:t>
      </w:r>
      <w:r w:rsidRPr="00B36510">
        <w:rPr>
          <w:rFonts w:cstheme="minorHAnsi"/>
          <w:b/>
          <w:bCs/>
          <w:i/>
          <w:iCs/>
        </w:rPr>
        <w:t>змін</w:t>
      </w:r>
      <w:r w:rsidRPr="00B36510">
        <w:rPr>
          <w:rFonts w:cstheme="minorHAnsi"/>
          <w:i/>
          <w:iCs/>
        </w:rPr>
        <w:t xml:space="preserve"> </w:t>
      </w:r>
      <w:r w:rsidRPr="00B36510">
        <w:rPr>
          <w:rFonts w:cstheme="minorHAnsi"/>
        </w:rPr>
        <w:t xml:space="preserve">до </w:t>
      </w:r>
      <w:bookmarkStart w:id="1" w:name="_Hlk56442549"/>
      <w:r w:rsidRPr="00B36510">
        <w:rPr>
          <w:rFonts w:cstheme="minorHAnsi"/>
        </w:rPr>
        <w:t xml:space="preserve">Порядку встановлення, перегляду та припинення дії «зеленого» тарифу </w:t>
      </w:r>
      <w:bookmarkEnd w:id="1"/>
      <w:r w:rsidRPr="00B36510">
        <w:rPr>
          <w:rFonts w:cstheme="minorHAnsi"/>
        </w:rPr>
        <w:t xml:space="preserve">на електричну енергію, затвердженого постановою НКРЕКП від 30.08.2019 № 1817. </w:t>
      </w:r>
      <w:r w:rsidR="000E1859" w:rsidRPr="00B36510">
        <w:rPr>
          <w:rFonts w:cstheme="minorHAnsi"/>
        </w:rPr>
        <w:t xml:space="preserve">Зміни запропоновані у </w:t>
      </w:r>
      <w:r w:rsidR="005E18E7" w:rsidRPr="00B36510">
        <w:rPr>
          <w:rFonts w:cstheme="minorHAnsi"/>
        </w:rPr>
        <w:t>зв’язку</w:t>
      </w:r>
      <w:r w:rsidR="000E1859" w:rsidRPr="00B36510">
        <w:rPr>
          <w:rFonts w:cstheme="minorHAnsi"/>
        </w:rPr>
        <w:t xml:space="preserve"> з необхідністю п</w:t>
      </w:r>
      <w:r w:rsidRPr="00B36510">
        <w:rPr>
          <w:rFonts w:cstheme="minorHAnsi"/>
        </w:rPr>
        <w:t xml:space="preserve">риведення </w:t>
      </w:r>
      <w:r w:rsidR="000E1859" w:rsidRPr="00B36510">
        <w:rPr>
          <w:rFonts w:cstheme="minorHAnsi"/>
        </w:rPr>
        <w:t>чинного Порядку встановлення, перегляду та припинення дії «зеленого» тарифу</w:t>
      </w:r>
      <w:r w:rsidRPr="00B36510">
        <w:rPr>
          <w:rFonts w:cstheme="minorHAnsi"/>
        </w:rPr>
        <w:t xml:space="preserve"> у відповідність до вимог Закону України від 21.07.2020 № 810-IX</w:t>
      </w:r>
      <w:r w:rsidR="000E1859" w:rsidRPr="00B36510">
        <w:rPr>
          <w:rFonts w:cstheme="minorHAnsi"/>
        </w:rPr>
        <w:t xml:space="preserve">. </w:t>
      </w:r>
    </w:p>
    <w:p w14:paraId="4174AD1C" w14:textId="12C0962D" w:rsidR="000E1859" w:rsidRPr="00B36510" w:rsidRDefault="000E1859" w:rsidP="000E1859">
      <w:pPr>
        <w:jc w:val="both"/>
        <w:rPr>
          <w:rFonts w:cstheme="minorHAnsi"/>
        </w:rPr>
      </w:pPr>
      <w:r w:rsidRPr="00B36510">
        <w:rPr>
          <w:rFonts w:cstheme="minorHAnsi"/>
        </w:rPr>
        <w:t xml:space="preserve">Проєктом уточнені вимоги до </w:t>
      </w:r>
      <w:r w:rsidR="005E18E7" w:rsidRPr="00B36510">
        <w:rPr>
          <w:rFonts w:cstheme="minorHAnsi"/>
        </w:rPr>
        <w:t>суб’єктів</w:t>
      </w:r>
      <w:r w:rsidRPr="00B36510">
        <w:rPr>
          <w:rFonts w:cstheme="minorHAnsi"/>
        </w:rPr>
        <w:t xml:space="preserve"> ринку, що можуть претендувати на «зелений» тариф, перелік документів, що подаються для </w:t>
      </w:r>
      <w:r w:rsidR="00637281" w:rsidRPr="00B36510">
        <w:rPr>
          <w:rFonts w:cstheme="minorHAnsi"/>
        </w:rPr>
        <w:t>встановлення «зеленого» тарифу</w:t>
      </w:r>
      <w:r w:rsidRPr="00B36510">
        <w:rPr>
          <w:rFonts w:cstheme="minorHAnsi"/>
        </w:rPr>
        <w:t xml:space="preserve">.  </w:t>
      </w:r>
      <w:r w:rsidR="00CD59B3" w:rsidRPr="00B36510">
        <w:rPr>
          <w:rFonts w:cstheme="minorHAnsi"/>
        </w:rPr>
        <w:t>Окремо слід звернути увагу на наступне положення проєкту. Я</w:t>
      </w:r>
      <w:r w:rsidRPr="00B36510">
        <w:rPr>
          <w:rFonts w:cstheme="minorHAnsi"/>
        </w:rPr>
        <w:t>кщо для реалізації проєкту</w:t>
      </w:r>
      <w:r w:rsidR="00CD59B3" w:rsidRPr="00B36510">
        <w:rPr>
          <w:rFonts w:cstheme="minorHAnsi"/>
        </w:rPr>
        <w:t xml:space="preserve"> будівництва</w:t>
      </w:r>
      <w:r w:rsidRPr="00B36510">
        <w:rPr>
          <w:rFonts w:cstheme="minorHAnsi"/>
        </w:rPr>
        <w:t xml:space="preserve"> укладався пре-РРА відповідно до частини 4 статті 71 ЗУ Про ринок електричної енергії, то технічні показники об’єкта ВДЕ, на який </w:t>
      </w:r>
      <w:r w:rsidR="00CD59B3" w:rsidRPr="00B36510">
        <w:rPr>
          <w:rFonts w:cstheme="minorHAnsi"/>
        </w:rPr>
        <w:t xml:space="preserve">заявник  подає </w:t>
      </w:r>
      <w:r w:rsidRPr="00B36510">
        <w:rPr>
          <w:rFonts w:cstheme="minorHAnsi"/>
        </w:rPr>
        <w:t>документи для встан</w:t>
      </w:r>
      <w:r w:rsidR="00CD59B3" w:rsidRPr="00B36510">
        <w:rPr>
          <w:rFonts w:cstheme="minorHAnsi"/>
        </w:rPr>
        <w:t>о</w:t>
      </w:r>
      <w:r w:rsidRPr="00B36510">
        <w:rPr>
          <w:rFonts w:cstheme="minorHAnsi"/>
        </w:rPr>
        <w:t>влення «зеленого» тарифу</w:t>
      </w:r>
      <w:r w:rsidR="00CD59B3" w:rsidRPr="00B36510">
        <w:rPr>
          <w:rFonts w:cstheme="minorHAnsi"/>
        </w:rPr>
        <w:t>, не повинні відхилятись від технічних характеристик такого об’єкта ВДЕ, що</w:t>
      </w:r>
      <w:r w:rsidRPr="00B36510">
        <w:rPr>
          <w:rFonts w:cstheme="minorHAnsi"/>
        </w:rPr>
        <w:t xml:space="preserve"> вказан</w:t>
      </w:r>
      <w:r w:rsidR="00CD59B3" w:rsidRPr="00B36510">
        <w:rPr>
          <w:rFonts w:cstheme="minorHAnsi"/>
        </w:rPr>
        <w:t>і</w:t>
      </w:r>
      <w:r w:rsidRPr="00B36510">
        <w:rPr>
          <w:rFonts w:cstheme="minorHAnsi"/>
        </w:rPr>
        <w:t xml:space="preserve"> у документах, </w:t>
      </w:r>
      <w:r w:rsidR="00CD59B3" w:rsidRPr="00B36510">
        <w:rPr>
          <w:rFonts w:cstheme="minorHAnsi"/>
        </w:rPr>
        <w:t>які надавались</w:t>
      </w:r>
      <w:r w:rsidRPr="00B36510">
        <w:rPr>
          <w:rFonts w:cstheme="minorHAnsi"/>
        </w:rPr>
        <w:t xml:space="preserve"> гарантованому покупцю для укладання </w:t>
      </w:r>
      <w:r w:rsidR="00CD59B3" w:rsidRPr="00B36510">
        <w:rPr>
          <w:rFonts w:cstheme="minorHAnsi"/>
        </w:rPr>
        <w:t>пре-РРА</w:t>
      </w:r>
      <w:r w:rsidRPr="00B36510">
        <w:rPr>
          <w:rFonts w:cstheme="minorHAnsi"/>
        </w:rPr>
        <w:t xml:space="preserve"> (приєднана потужність електроустановки, конфігурація та кадастровий номер земельної ділянки).</w:t>
      </w:r>
    </w:p>
    <w:p w14:paraId="39732464" w14:textId="1D455A55" w:rsidR="001C569F" w:rsidRPr="005E18E7" w:rsidRDefault="00CD59B3" w:rsidP="00CD59B3">
      <w:pPr>
        <w:jc w:val="both"/>
        <w:rPr>
          <w:rFonts w:eastAsia="Calibri" w:cstheme="minorHAnsi"/>
        </w:rPr>
      </w:pPr>
      <w:r w:rsidRPr="00B36510">
        <w:rPr>
          <w:rFonts w:cstheme="minorHAnsi"/>
        </w:rPr>
        <w:t xml:space="preserve">Проєкт оприлюднений на вебсайті НКРЕКП: </w:t>
      </w:r>
      <w:hyperlink r:id="rId8" w:history="1">
        <w:r w:rsidRPr="00B36510">
          <w:rPr>
            <w:rStyle w:val="a8"/>
            <w:rFonts w:cstheme="minorHAnsi"/>
          </w:rPr>
          <w:t>http://www.nerc.gov.ua/?news=10726</w:t>
        </w:r>
      </w:hyperlink>
      <w:r w:rsidRPr="00B36510">
        <w:rPr>
          <w:rFonts w:cstheme="minorHAnsi"/>
        </w:rPr>
        <w:t xml:space="preserve">. </w:t>
      </w:r>
      <w:r w:rsidR="000F1B7F" w:rsidRPr="00B36510">
        <w:rPr>
          <w:rFonts w:eastAsia="Calibri" w:cstheme="minorHAnsi"/>
        </w:rPr>
        <w:t>З</w:t>
      </w:r>
      <w:r w:rsidR="0066398A" w:rsidRPr="00B36510">
        <w:rPr>
          <w:rFonts w:eastAsia="Calibri" w:cstheme="minorHAnsi"/>
        </w:rPr>
        <w:t xml:space="preserve">ауваження та пропозиції </w:t>
      </w:r>
      <w:r w:rsidR="000F1B7F" w:rsidRPr="00B36510">
        <w:rPr>
          <w:rFonts w:eastAsia="Calibri" w:cstheme="minorHAnsi"/>
        </w:rPr>
        <w:t xml:space="preserve">від </w:t>
      </w:r>
      <w:r w:rsidR="0066398A" w:rsidRPr="00B36510">
        <w:rPr>
          <w:rFonts w:eastAsia="Calibri" w:cstheme="minorHAnsi"/>
        </w:rPr>
        <w:t>учасників ринку приймаються до 1</w:t>
      </w:r>
      <w:r w:rsidRPr="00B36510">
        <w:rPr>
          <w:rFonts w:eastAsia="Calibri" w:cstheme="minorHAnsi"/>
        </w:rPr>
        <w:t>6</w:t>
      </w:r>
      <w:r w:rsidR="0066398A" w:rsidRPr="00B36510">
        <w:rPr>
          <w:rFonts w:eastAsia="Calibri" w:cstheme="minorHAnsi"/>
        </w:rPr>
        <w:t xml:space="preserve"> </w:t>
      </w:r>
      <w:r w:rsidRPr="00B36510">
        <w:rPr>
          <w:rFonts w:eastAsia="Calibri" w:cstheme="minorHAnsi"/>
        </w:rPr>
        <w:t xml:space="preserve">листопада </w:t>
      </w:r>
      <w:r w:rsidR="0066398A" w:rsidRPr="00B36510">
        <w:rPr>
          <w:rFonts w:eastAsia="Calibri" w:cstheme="minorHAnsi"/>
        </w:rPr>
        <w:t xml:space="preserve">2020 </w:t>
      </w:r>
      <w:r w:rsidRPr="00B36510">
        <w:rPr>
          <w:rFonts w:eastAsia="Calibri" w:cstheme="minorHAnsi"/>
        </w:rPr>
        <w:t>включно</w:t>
      </w:r>
      <w:r w:rsidR="0066398A" w:rsidRPr="00B36510">
        <w:rPr>
          <w:rFonts w:eastAsia="Calibri" w:cstheme="minorHAnsi"/>
        </w:rPr>
        <w:t>.</w:t>
      </w:r>
      <w:r w:rsidR="0066398A" w:rsidRPr="005E18E7">
        <w:rPr>
          <w:rFonts w:eastAsia="Calibri" w:cstheme="minorHAnsi"/>
        </w:rPr>
        <w:t xml:space="preserve"> </w:t>
      </w:r>
    </w:p>
    <w:p w14:paraId="6EC15A8A" w14:textId="77777777" w:rsidR="00CD59B3" w:rsidRPr="005E18E7" w:rsidRDefault="00CD59B3" w:rsidP="00CD59B3">
      <w:pPr>
        <w:jc w:val="both"/>
        <w:rPr>
          <w:rFonts w:eastAsia="Calibri" w:cstheme="minorHAnsi"/>
        </w:rPr>
      </w:pPr>
    </w:p>
    <w:p w14:paraId="2819C39A" w14:textId="16C83136" w:rsidR="001C569F" w:rsidRPr="005E18E7" w:rsidRDefault="001C569F" w:rsidP="001C569F">
      <w:pPr>
        <w:spacing w:after="240"/>
        <w:rPr>
          <w:rFonts w:eastAsia="Calibri" w:cstheme="minorHAnsi"/>
        </w:rPr>
      </w:pPr>
    </w:p>
    <w:p w14:paraId="7F71A8D5" w14:textId="77777777" w:rsidR="001C569F" w:rsidRPr="005E18E7" w:rsidRDefault="001C569F" w:rsidP="001C569F">
      <w:pPr>
        <w:spacing w:after="240"/>
        <w:rPr>
          <w:rFonts w:eastAsia="Calibri" w:cstheme="minorHAnsi"/>
        </w:rPr>
      </w:pPr>
    </w:p>
    <w:p w14:paraId="2467110E" w14:textId="77777777" w:rsidR="00451B5E" w:rsidRPr="005E18E7" w:rsidRDefault="00451B5E" w:rsidP="00485F6F">
      <w:pPr>
        <w:spacing w:after="100" w:afterAutospacing="1"/>
        <w:rPr>
          <w:rFonts w:eastAsia="Calibri" w:cstheme="minorHAnsi"/>
        </w:rPr>
      </w:pPr>
    </w:p>
    <w:p w14:paraId="12FC5E57" w14:textId="4465D0CB" w:rsidR="00C83E72" w:rsidRPr="005E18E7" w:rsidRDefault="00C83E72" w:rsidP="00485F6F">
      <w:pPr>
        <w:spacing w:after="100" w:afterAutospacing="1"/>
        <w:rPr>
          <w:rFonts w:cstheme="minorHAnsi"/>
        </w:rPr>
      </w:pPr>
    </w:p>
    <w:p w14:paraId="490D16A7" w14:textId="162AE34E" w:rsidR="005F177C" w:rsidRPr="005E18E7" w:rsidRDefault="005F177C"/>
    <w:sectPr w:rsidR="005F177C" w:rsidRPr="005E18E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F5372" w14:textId="77777777" w:rsidR="006B1EC7" w:rsidRDefault="006B1EC7" w:rsidP="00271F9A">
      <w:pPr>
        <w:spacing w:after="0" w:line="240" w:lineRule="auto"/>
      </w:pPr>
      <w:r>
        <w:separator/>
      </w:r>
    </w:p>
  </w:endnote>
  <w:endnote w:type="continuationSeparator" w:id="0">
    <w:p w14:paraId="60D7553F" w14:textId="77777777" w:rsidR="006B1EC7" w:rsidRDefault="006B1EC7" w:rsidP="0027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ED6CB" w14:textId="7E29594C" w:rsidR="000F1B7F" w:rsidRDefault="005E18E7">
    <w:pPr>
      <w:pStyle w:val="a6"/>
      <w:jc w:val="right"/>
    </w:pPr>
    <w:r w:rsidRPr="00DA13B3">
      <w:rPr>
        <w:sz w:val="20"/>
        <w:szCs w:val="20"/>
        <w:lang w:val="ru-RU"/>
      </w:rPr>
      <w:t xml:space="preserve">Підготовлено </w:t>
    </w:r>
    <w:r>
      <w:rPr>
        <w:sz w:val="20"/>
        <w:szCs w:val="20"/>
      </w:rPr>
      <w:t xml:space="preserve">спеціально </w:t>
    </w:r>
    <w:r w:rsidRPr="00DA13B3">
      <w:rPr>
        <w:sz w:val="20"/>
        <w:szCs w:val="20"/>
        <w:lang w:val="ru-RU"/>
      </w:rPr>
      <w:t>для Європейсько-українського енергетичного агентства</w:t>
    </w:r>
    <w:r>
      <w:t xml:space="preserve"> </w:t>
    </w:r>
    <w:r>
      <w:rPr>
        <w:lang w:val="en-US"/>
      </w:rPr>
      <w:t xml:space="preserve">                                        </w:t>
    </w:r>
    <w:sdt>
      <w:sdtPr>
        <w:id w:val="1279066894"/>
        <w:docPartObj>
          <w:docPartGallery w:val="Page Numbers (Bottom of Page)"/>
          <w:docPartUnique/>
        </w:docPartObj>
      </w:sdtPr>
      <w:sdtEndPr/>
      <w:sdtContent>
        <w:r w:rsidR="000F1B7F">
          <w:fldChar w:fldCharType="begin"/>
        </w:r>
        <w:r w:rsidR="000F1B7F">
          <w:instrText>PAGE   \* MERGEFORMAT</w:instrText>
        </w:r>
        <w:r w:rsidR="000F1B7F">
          <w:fldChar w:fldCharType="separate"/>
        </w:r>
        <w:r w:rsidR="000F1B7F">
          <w:rPr>
            <w:lang w:val="ru-RU"/>
          </w:rPr>
          <w:t>2</w:t>
        </w:r>
        <w:r w:rsidR="000F1B7F">
          <w:fldChar w:fldCharType="end"/>
        </w:r>
      </w:sdtContent>
    </w:sdt>
  </w:p>
  <w:p w14:paraId="6C180BB8" w14:textId="77777777" w:rsidR="000F1B7F" w:rsidRDefault="000F1B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A89E4" w14:textId="77777777" w:rsidR="006B1EC7" w:rsidRDefault="006B1EC7" w:rsidP="00271F9A">
      <w:pPr>
        <w:spacing w:after="0" w:line="240" w:lineRule="auto"/>
      </w:pPr>
      <w:r>
        <w:separator/>
      </w:r>
    </w:p>
  </w:footnote>
  <w:footnote w:type="continuationSeparator" w:id="0">
    <w:p w14:paraId="415759E1" w14:textId="77777777" w:rsidR="006B1EC7" w:rsidRDefault="006B1EC7" w:rsidP="00271F9A">
      <w:pPr>
        <w:spacing w:after="0" w:line="240" w:lineRule="auto"/>
      </w:pPr>
      <w:r>
        <w:continuationSeparator/>
      </w:r>
    </w:p>
  </w:footnote>
  <w:footnote w:id="1">
    <w:p w14:paraId="0759693E" w14:textId="58F850F7" w:rsidR="00B07E13" w:rsidRDefault="00B07E13" w:rsidP="005E18E7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hyperlink r:id="rId1" w:history="1">
        <w:r w:rsidRPr="00020D90">
          <w:rPr>
            <w:rStyle w:val="a8"/>
          </w:rPr>
          <w:t>http://mpe.kmu.gov.ua/minugol/control/uk/publish/article?art_id=245486157&amp;cat_id=35109</w:t>
        </w:r>
      </w:hyperlink>
    </w:p>
    <w:p w14:paraId="4BF047E9" w14:textId="77777777" w:rsidR="00B07E13" w:rsidRPr="00B07E13" w:rsidRDefault="00B07E13" w:rsidP="005E18E7">
      <w:pPr>
        <w:pStyle w:val="ac"/>
        <w:jc w:val="both"/>
      </w:pPr>
    </w:p>
  </w:footnote>
  <w:footnote w:id="2">
    <w:p w14:paraId="4B4BFCA4" w14:textId="1DA325F6" w:rsidR="00696C1C" w:rsidRPr="00696C1C" w:rsidRDefault="00696C1C" w:rsidP="005E18E7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696C1C">
        <w:t>Постійний механізм відшкодування відповідно до Закону України від 21.07.2020 № 810-IX повинен бути запроваджений НКРЕКП з 1 січня 2021 року. Він передбачає надання виробниками ВДЕ послуги із зменшення навантаження, що буде надаватись ОСП поза балансуючим ринком,</w:t>
      </w:r>
      <w:r w:rsidR="005E18E7">
        <w:rPr>
          <w:lang w:val="en-US"/>
        </w:rPr>
        <w:t xml:space="preserve"> </w:t>
      </w:r>
      <w:r w:rsidRPr="00696C1C">
        <w:t>на підставі відповідного договору між ОСП та виробниками ВДЕ.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FA337" w14:textId="7A278567" w:rsidR="00271F9A" w:rsidRDefault="00271F9A">
    <w:pPr>
      <w:pStyle w:val="a4"/>
    </w:pPr>
    <w:r w:rsidRPr="00017F0C">
      <w:rPr>
        <w:b/>
        <w:noProof/>
        <w:sz w:val="24"/>
        <w:szCs w:val="24"/>
        <w:lang w:eastAsia="ru-RU"/>
      </w:rPr>
      <w:drawing>
        <wp:anchor distT="0" distB="0" distL="114300" distR="114300" simplePos="0" relativeHeight="251659264" behindDoc="0" locked="0" layoutInCell="1" allowOverlap="1" wp14:anchorId="50D347F5" wp14:editId="1FE1CBBB">
          <wp:simplePos x="0" y="0"/>
          <wp:positionH relativeFrom="margin">
            <wp:posOffset>0</wp:posOffset>
          </wp:positionH>
          <wp:positionV relativeFrom="paragraph">
            <wp:posOffset>6985</wp:posOffset>
          </wp:positionV>
          <wp:extent cx="2314575" cy="273685"/>
          <wp:effectExtent l="0" t="0" r="9525" b="0"/>
          <wp:wrapSquare wrapText="bothSides"/>
          <wp:docPr id="2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273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7DF4B6" w14:textId="77777777" w:rsidR="00271F9A" w:rsidRDefault="00271F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C5B10"/>
    <w:multiLevelType w:val="hybridMultilevel"/>
    <w:tmpl w:val="DFF65F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3275B"/>
    <w:multiLevelType w:val="hybridMultilevel"/>
    <w:tmpl w:val="4AA63402"/>
    <w:lvl w:ilvl="0" w:tplc="830869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16CB2"/>
    <w:multiLevelType w:val="hybridMultilevel"/>
    <w:tmpl w:val="F698CA8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D125E"/>
    <w:multiLevelType w:val="hybridMultilevel"/>
    <w:tmpl w:val="3C82D442"/>
    <w:lvl w:ilvl="0" w:tplc="6EE25892">
      <w:numFmt w:val="bullet"/>
      <w:lvlText w:val="•"/>
      <w:lvlJc w:val="left"/>
      <w:pPr>
        <w:ind w:left="972" w:hanging="612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47674"/>
    <w:multiLevelType w:val="hybridMultilevel"/>
    <w:tmpl w:val="AEFEDE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676D2"/>
    <w:multiLevelType w:val="hybridMultilevel"/>
    <w:tmpl w:val="6EA63448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5A3571"/>
    <w:multiLevelType w:val="hybridMultilevel"/>
    <w:tmpl w:val="CD32726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B432A0"/>
    <w:multiLevelType w:val="hybridMultilevel"/>
    <w:tmpl w:val="C8EEE70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4D598C"/>
    <w:multiLevelType w:val="hybridMultilevel"/>
    <w:tmpl w:val="3F68C9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12AAC"/>
    <w:multiLevelType w:val="hybridMultilevel"/>
    <w:tmpl w:val="61847A5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4370A"/>
    <w:multiLevelType w:val="hybridMultilevel"/>
    <w:tmpl w:val="7592E5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32E8F"/>
    <w:multiLevelType w:val="hybridMultilevel"/>
    <w:tmpl w:val="ABDA59BE"/>
    <w:lvl w:ilvl="0" w:tplc="830869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76917"/>
    <w:multiLevelType w:val="hybridMultilevel"/>
    <w:tmpl w:val="4CDE730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E3"/>
    <w:rsid w:val="0000132C"/>
    <w:rsid w:val="000679D9"/>
    <w:rsid w:val="0008256D"/>
    <w:rsid w:val="000E1859"/>
    <w:rsid w:val="000F1B7F"/>
    <w:rsid w:val="00103E8F"/>
    <w:rsid w:val="00116B49"/>
    <w:rsid w:val="001173A7"/>
    <w:rsid w:val="001C569F"/>
    <w:rsid w:val="00271F9A"/>
    <w:rsid w:val="002779B8"/>
    <w:rsid w:val="002A4253"/>
    <w:rsid w:val="00335BDC"/>
    <w:rsid w:val="00360240"/>
    <w:rsid w:val="0039555C"/>
    <w:rsid w:val="003A52C8"/>
    <w:rsid w:val="003C73C6"/>
    <w:rsid w:val="00411C50"/>
    <w:rsid w:val="00416BA4"/>
    <w:rsid w:val="00430DAD"/>
    <w:rsid w:val="004476EC"/>
    <w:rsid w:val="00451B5E"/>
    <w:rsid w:val="00485405"/>
    <w:rsid w:val="00485F6F"/>
    <w:rsid w:val="0049265A"/>
    <w:rsid w:val="004D6F31"/>
    <w:rsid w:val="004F7B94"/>
    <w:rsid w:val="00513A54"/>
    <w:rsid w:val="005339BC"/>
    <w:rsid w:val="00556F80"/>
    <w:rsid w:val="00564320"/>
    <w:rsid w:val="0057024E"/>
    <w:rsid w:val="005E18E7"/>
    <w:rsid w:val="005F177C"/>
    <w:rsid w:val="00614B90"/>
    <w:rsid w:val="0063701A"/>
    <w:rsid w:val="00637281"/>
    <w:rsid w:val="0066398A"/>
    <w:rsid w:val="00696C1C"/>
    <w:rsid w:val="006B1EC7"/>
    <w:rsid w:val="006D3B8A"/>
    <w:rsid w:val="006F41D0"/>
    <w:rsid w:val="007329E3"/>
    <w:rsid w:val="00772290"/>
    <w:rsid w:val="00793B66"/>
    <w:rsid w:val="00793F5F"/>
    <w:rsid w:val="007F5953"/>
    <w:rsid w:val="008519E0"/>
    <w:rsid w:val="00853CE3"/>
    <w:rsid w:val="00864768"/>
    <w:rsid w:val="00864DB7"/>
    <w:rsid w:val="0086628F"/>
    <w:rsid w:val="008879A6"/>
    <w:rsid w:val="0094527F"/>
    <w:rsid w:val="009555A4"/>
    <w:rsid w:val="00960E53"/>
    <w:rsid w:val="009700D3"/>
    <w:rsid w:val="00987865"/>
    <w:rsid w:val="0099216C"/>
    <w:rsid w:val="009E1155"/>
    <w:rsid w:val="009E50D8"/>
    <w:rsid w:val="009F528A"/>
    <w:rsid w:val="00A021D4"/>
    <w:rsid w:val="00A119FA"/>
    <w:rsid w:val="00A73164"/>
    <w:rsid w:val="00A876FA"/>
    <w:rsid w:val="00AB5960"/>
    <w:rsid w:val="00AC1584"/>
    <w:rsid w:val="00AF6026"/>
    <w:rsid w:val="00B07E13"/>
    <w:rsid w:val="00B16622"/>
    <w:rsid w:val="00B36510"/>
    <w:rsid w:val="00B75061"/>
    <w:rsid w:val="00B86A47"/>
    <w:rsid w:val="00BA291C"/>
    <w:rsid w:val="00BD5403"/>
    <w:rsid w:val="00C068EC"/>
    <w:rsid w:val="00C2211E"/>
    <w:rsid w:val="00C351FA"/>
    <w:rsid w:val="00C40520"/>
    <w:rsid w:val="00C45D0E"/>
    <w:rsid w:val="00C81EEC"/>
    <w:rsid w:val="00C83E72"/>
    <w:rsid w:val="00CD115F"/>
    <w:rsid w:val="00CD59B3"/>
    <w:rsid w:val="00D07CB3"/>
    <w:rsid w:val="00D166AB"/>
    <w:rsid w:val="00D3634F"/>
    <w:rsid w:val="00D90D35"/>
    <w:rsid w:val="00D96769"/>
    <w:rsid w:val="00D970E4"/>
    <w:rsid w:val="00DB1AC9"/>
    <w:rsid w:val="00DF16CB"/>
    <w:rsid w:val="00E11A06"/>
    <w:rsid w:val="00E77DEF"/>
    <w:rsid w:val="00ED0521"/>
    <w:rsid w:val="00EE2FF7"/>
    <w:rsid w:val="00F26FAB"/>
    <w:rsid w:val="00F64630"/>
    <w:rsid w:val="00FB73BE"/>
    <w:rsid w:val="00FD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0CE1"/>
  <w15:chartTrackingRefBased/>
  <w15:docId w15:val="{09DBEB99-91FF-4676-9E8B-0230BBB0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D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1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71F9A"/>
  </w:style>
  <w:style w:type="paragraph" w:styleId="a6">
    <w:name w:val="footer"/>
    <w:basedOn w:val="a"/>
    <w:link w:val="a7"/>
    <w:uiPriority w:val="99"/>
    <w:unhideWhenUsed/>
    <w:rsid w:val="00271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71F9A"/>
  </w:style>
  <w:style w:type="character" w:styleId="a8">
    <w:name w:val="Hyperlink"/>
    <w:basedOn w:val="a0"/>
    <w:uiPriority w:val="99"/>
    <w:unhideWhenUsed/>
    <w:rsid w:val="0066398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6398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70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9700D3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B07E13"/>
    <w:pPr>
      <w:spacing w:after="0" w:line="240" w:lineRule="auto"/>
    </w:pPr>
    <w:rPr>
      <w:sz w:val="20"/>
      <w:szCs w:val="20"/>
    </w:rPr>
  </w:style>
  <w:style w:type="character" w:customStyle="1" w:styleId="ad">
    <w:name w:val="Текст виноски Знак"/>
    <w:basedOn w:val="a0"/>
    <w:link w:val="ac"/>
    <w:uiPriority w:val="99"/>
    <w:semiHidden/>
    <w:rsid w:val="00B07E1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07E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ADBDE"/>
            <w:right w:val="none" w:sz="0" w:space="0" w:color="auto"/>
          </w:divBdr>
        </w:div>
        <w:div w:id="765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rc.gov.ua/?news=107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pe.kmu.gov.ua/minugol/control/uk/publish/article?art_id=245486157&amp;cat_id=351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19076-37F9-48F7-9EF6-71DCC201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4569</Words>
  <Characters>2605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Zagumennova</dc:creator>
  <cp:keywords/>
  <dc:description/>
  <cp:lastModifiedBy>Юлія Печена</cp:lastModifiedBy>
  <cp:revision>7</cp:revision>
  <dcterms:created xsi:type="dcterms:W3CDTF">2020-11-16T08:38:00Z</dcterms:created>
  <dcterms:modified xsi:type="dcterms:W3CDTF">2020-11-17T12:16:00Z</dcterms:modified>
</cp:coreProperties>
</file>