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3"/>
        <w:tblW w:w="9399" w:type="dxa"/>
        <w:tblInd w:w="0" w:type="dxa"/>
        <w:tblLayout w:type="fixed"/>
        <w:tblCellMar>
          <w:top w:w="0" w:type="dxa"/>
          <w:left w:w="115" w:type="dxa"/>
          <w:bottom w:w="0" w:type="dxa"/>
          <w:right w:w="115" w:type="dxa"/>
        </w:tblCellMar>
      </w:tblPr>
      <w:tblGrid>
        <w:gridCol w:w="4507"/>
        <w:gridCol w:w="4892"/>
      </w:tblGrid>
      <w:tr>
        <w:trPr>
          <w:trHeight w:val="2862" w:hRule="atLeast"/>
        </w:trPr>
        <w:tc>
          <w:tcPr>
            <w:tcW w:w="4507" w:type="dxa"/>
          </w:tcPr>
          <w:p>
            <w:pPr>
              <w:shd w:val="clear" w:color="auto" w:fill="FFFFFF"/>
              <w:spacing w:after="0" w:line="288" w:lineRule="auto"/>
              <w:rPr>
                <w:rFonts w:asciiTheme="majorHAnsi" w:hAnsiTheme="majorHAnsi" w:cstheme="majorHAnsi"/>
                <w:bCs/>
                <w:color w:val="000000"/>
              </w:rPr>
            </w:pPr>
          </w:p>
          <w:p>
            <w:pPr>
              <w:shd w:val="clear" w:color="auto" w:fill="FFFFFF"/>
              <w:spacing w:after="0" w:line="288" w:lineRule="auto"/>
              <w:rPr>
                <w:rFonts w:eastAsia="Times New Roman" w:asciiTheme="majorHAnsi" w:hAnsiTheme="majorHAnsi" w:cstheme="majorHAnsi"/>
                <w:color w:val="000000"/>
              </w:rPr>
            </w:pPr>
            <w:r>
              <w:rPr>
                <w:rFonts w:asciiTheme="majorHAnsi" w:hAnsiTheme="majorHAnsi" w:cstheme="majorHAnsi"/>
                <w:bCs/>
                <w:color w:val="000000"/>
              </w:rPr>
              <w:t>Від 30.11.2021</w:t>
            </w:r>
          </w:p>
          <w:p>
            <w:pPr>
              <w:spacing w:after="0" w:line="288" w:lineRule="auto"/>
              <w:rPr>
                <w:rFonts w:eastAsia="Times New Roman" w:asciiTheme="majorHAnsi" w:hAnsiTheme="majorHAnsi" w:cstheme="majorHAnsi"/>
                <w:color w:val="000000"/>
              </w:rPr>
            </w:pPr>
          </w:p>
          <w:p>
            <w:pPr>
              <w:spacing w:after="0" w:line="288" w:lineRule="auto"/>
              <w:jc w:val="both"/>
              <w:rPr>
                <w:rFonts w:eastAsia="Times New Roman" w:asciiTheme="majorHAnsi" w:hAnsiTheme="majorHAnsi" w:cstheme="majorHAnsi"/>
                <w:i/>
                <w:iCs/>
                <w:color w:val="000000"/>
              </w:rPr>
            </w:pPr>
          </w:p>
          <w:p>
            <w:pPr>
              <w:spacing w:after="0" w:line="288" w:lineRule="auto"/>
              <w:jc w:val="both"/>
              <w:rPr>
                <w:rFonts w:eastAsia="Times New Roman" w:asciiTheme="majorHAnsi" w:hAnsiTheme="majorHAnsi" w:cstheme="majorHAnsi"/>
                <w:color w:val="000000"/>
              </w:rPr>
            </w:pPr>
            <w:r>
              <w:rPr>
                <w:rFonts w:eastAsia="Times New Roman" w:asciiTheme="majorHAnsi" w:hAnsiTheme="majorHAnsi" w:cstheme="majorHAnsi"/>
                <w:i/>
                <w:iCs/>
                <w:color w:val="000000"/>
              </w:rPr>
              <w:t xml:space="preserve">[Щодо прийняття постанови НКРЕКП «Про встановлення тарифу на послуги з передачі електричної енергії НЕК «Укренерго» на 2022 рік» та </w:t>
            </w:r>
            <w:r>
              <w:rPr>
                <w:rFonts w:eastAsia="Times New Roman" w:asciiTheme="majorHAnsi" w:hAnsiTheme="majorHAnsi" w:cstheme="majorHAnsi"/>
                <w:i/>
              </w:rPr>
              <w:t>забезпечення виконання Україною зобов’язань перед МВФ, іншими міжнародними фінансовими організаціями та інвесторами у відновлювані джерела енергії, під якими стоять підписи Президента України, Кабінету Міністрів України та НКРЕКП</w:t>
            </w:r>
            <w:r>
              <w:rPr>
                <w:rFonts w:eastAsia="Times New Roman" w:asciiTheme="majorHAnsi" w:hAnsiTheme="majorHAnsi" w:cstheme="majorHAnsi"/>
                <w:i/>
                <w:iCs/>
                <w:color w:val="000000"/>
              </w:rPr>
              <w:t>]</w:t>
            </w:r>
          </w:p>
        </w:tc>
        <w:tc>
          <w:tcPr>
            <w:tcW w:w="4892" w:type="dxa"/>
          </w:tcPr>
          <w:p>
            <w:pPr>
              <w:spacing w:after="0" w:line="288" w:lineRule="auto"/>
              <w:rPr>
                <w:rFonts w:eastAsia="Times New Roman" w:asciiTheme="majorHAnsi" w:hAnsiTheme="majorHAnsi" w:cstheme="majorHAnsi"/>
                <w:b/>
                <w:color w:val="000000"/>
              </w:rPr>
            </w:pPr>
          </w:p>
          <w:p>
            <w:pPr>
              <w:spacing w:after="0" w:line="288" w:lineRule="auto"/>
              <w:rPr>
                <w:rFonts w:eastAsia="Times New Roman" w:asciiTheme="majorHAnsi" w:hAnsiTheme="majorHAnsi" w:cstheme="majorHAnsi"/>
                <w:b/>
                <w:color w:val="000000"/>
              </w:rPr>
            </w:pPr>
            <w:r>
              <w:rPr>
                <w:rFonts w:eastAsia="Times New Roman" w:asciiTheme="majorHAnsi" w:hAnsiTheme="majorHAnsi" w:cstheme="majorHAnsi"/>
                <w:b/>
                <w:color w:val="000000"/>
              </w:rPr>
              <w:t>Голові Н</w:t>
            </w:r>
            <w:r>
              <w:rPr>
                <w:rFonts w:eastAsia="Times New Roman" w:asciiTheme="majorHAnsi" w:hAnsiTheme="majorHAnsi" w:cstheme="majorHAnsi"/>
                <w:b/>
                <w:color w:val="000000"/>
                <w:lang w:val="ru-RU"/>
              </w:rPr>
              <w:t xml:space="preserve">КРЕКП </w:t>
            </w:r>
          </w:p>
          <w:p>
            <w:pPr>
              <w:spacing w:after="0" w:line="288" w:lineRule="auto"/>
              <w:rPr>
                <w:rFonts w:eastAsia="Times New Roman" w:asciiTheme="majorHAnsi" w:hAnsiTheme="majorHAnsi" w:cstheme="majorHAnsi"/>
                <w:b/>
                <w:color w:val="000000"/>
              </w:rPr>
            </w:pPr>
            <w:r>
              <w:rPr>
                <w:rFonts w:eastAsia="Times New Roman" w:asciiTheme="majorHAnsi" w:hAnsiTheme="majorHAnsi" w:cstheme="majorHAnsi"/>
                <w:b/>
                <w:color w:val="000000"/>
              </w:rPr>
              <w:t>Тарасюку В.В.</w:t>
            </w:r>
          </w:p>
          <w:p>
            <w:pPr>
              <w:spacing w:after="0" w:line="288" w:lineRule="auto"/>
              <w:rPr>
                <w:rFonts w:eastAsia="Times New Roman" w:asciiTheme="majorHAnsi" w:hAnsiTheme="majorHAnsi" w:cstheme="majorHAnsi"/>
                <w:b/>
                <w:color w:val="000000"/>
              </w:rPr>
            </w:pPr>
          </w:p>
          <w:p>
            <w:pPr>
              <w:spacing w:after="0" w:line="288" w:lineRule="auto"/>
              <w:rPr>
                <w:rFonts w:eastAsia="Times New Roman" w:asciiTheme="majorHAnsi" w:hAnsiTheme="majorHAnsi" w:cstheme="majorHAnsi"/>
                <w:b/>
                <w:color w:val="000000"/>
              </w:rPr>
            </w:pPr>
          </w:p>
          <w:p>
            <w:pPr>
              <w:spacing w:after="0" w:line="288" w:lineRule="auto"/>
              <w:rPr>
                <w:rFonts w:eastAsia="Times New Roman" w:asciiTheme="majorHAnsi" w:hAnsiTheme="majorHAnsi" w:cstheme="majorHAnsi"/>
                <w:b/>
                <w:color w:val="000000"/>
              </w:rPr>
            </w:pPr>
          </w:p>
          <w:p>
            <w:pPr>
              <w:spacing w:after="0" w:line="288" w:lineRule="auto"/>
              <w:rPr>
                <w:rFonts w:eastAsia="Times New Roman" w:asciiTheme="majorHAnsi" w:hAnsiTheme="majorHAnsi" w:cstheme="majorHAnsi"/>
                <w:color w:val="000000"/>
              </w:rPr>
            </w:pPr>
          </w:p>
          <w:p>
            <w:pPr>
              <w:spacing w:after="0" w:line="288" w:lineRule="auto"/>
              <w:rPr>
                <w:rFonts w:eastAsia="Times New Roman" w:asciiTheme="majorHAnsi" w:hAnsiTheme="majorHAnsi" w:cstheme="majorHAnsi"/>
                <w:color w:val="000000"/>
              </w:rPr>
            </w:pPr>
          </w:p>
        </w:tc>
      </w:tr>
    </w:tbl>
    <w:p>
      <w:pPr>
        <w:spacing w:after="0" w:line="288" w:lineRule="auto"/>
        <w:jc w:val="both"/>
        <w:rPr>
          <w:rFonts w:eastAsia="Times New Roman" w:asciiTheme="majorHAnsi" w:hAnsiTheme="majorHAnsi" w:cstheme="majorHAnsi"/>
          <w:b/>
        </w:rPr>
      </w:pPr>
    </w:p>
    <w:p>
      <w:pPr>
        <w:spacing w:after="0" w:line="288" w:lineRule="auto"/>
        <w:ind w:firstLine="567"/>
        <w:jc w:val="center"/>
        <w:rPr>
          <w:rFonts w:eastAsia="Times New Roman" w:asciiTheme="majorHAnsi" w:hAnsiTheme="majorHAnsi" w:cstheme="majorHAnsi"/>
          <w:b/>
        </w:rPr>
      </w:pPr>
      <w:r>
        <w:rPr>
          <w:rFonts w:eastAsia="Times New Roman" w:asciiTheme="majorHAnsi" w:hAnsiTheme="majorHAnsi" w:cstheme="majorHAnsi"/>
          <w:b/>
        </w:rPr>
        <w:t>Шановний Валерію Володимировичу!</w:t>
      </w:r>
    </w:p>
    <w:p>
      <w:pPr>
        <w:spacing w:after="0" w:line="288" w:lineRule="auto"/>
        <w:jc w:val="both"/>
        <w:rPr>
          <w:rFonts w:eastAsia="Times New Roman" w:asciiTheme="majorHAnsi" w:hAnsiTheme="majorHAnsi" w:cstheme="majorHAnsi"/>
          <w:b/>
          <w:lang w:eastAsia="uk-UA"/>
        </w:rPr>
      </w:pPr>
    </w:p>
    <w:p>
      <w:pPr>
        <w:spacing w:after="0" w:line="288" w:lineRule="auto"/>
        <w:jc w:val="both"/>
        <w:rPr>
          <w:rFonts w:asciiTheme="majorHAnsi" w:hAnsiTheme="majorHAnsi" w:cstheme="majorHAnsi"/>
          <w:bCs/>
          <w:shd w:val="clear" w:color="auto" w:fill="FFFFFF"/>
          <w:lang w:eastAsia="uk-UA"/>
        </w:rPr>
      </w:pPr>
      <w:r>
        <w:rPr>
          <w:rFonts w:asciiTheme="majorHAnsi" w:hAnsiTheme="majorHAnsi" w:cstheme="majorHAnsi"/>
          <w:bCs/>
          <w:shd w:val="clear" w:color="auto" w:fill="FFFFFF"/>
          <w:lang w:eastAsia="uk-UA"/>
        </w:rPr>
        <w:t>Від імені міжнародних бізнес асоціацій, торгово-промислових палат з таких країн як Канада,</w:t>
      </w:r>
      <w:bookmarkStart w:id="1" w:name="_GoBack"/>
      <w:bookmarkEnd w:id="1"/>
      <w:r>
        <w:rPr>
          <w:rFonts w:asciiTheme="majorHAnsi" w:hAnsiTheme="majorHAnsi" w:cstheme="majorHAnsi"/>
          <w:bCs/>
          <w:shd w:val="clear" w:color="auto" w:fill="FFFFFF"/>
          <w:lang w:eastAsia="uk-UA"/>
        </w:rPr>
        <w:t xml:space="preserve"> Норвегія, США, Туреччина, Франція, Швейцарія, Швеція, що об’єднують іноземних інвесторів у різні галузі економіки України, в тому числі у секторі відновлюваної енергетики в Україні, що здійснили значні інвестиції для будівництва електростанцій, які працюють з використанням чистих джерел енергії з глибокою повагою, ми звертаємось до Вас із наступним.</w:t>
      </w:r>
    </w:p>
    <w:p>
      <w:pPr>
        <w:spacing w:after="0" w:line="288" w:lineRule="auto"/>
        <w:jc w:val="both"/>
        <w:rPr>
          <w:rFonts w:asciiTheme="majorHAnsi" w:hAnsiTheme="majorHAnsi" w:cstheme="majorHAnsi"/>
        </w:rPr>
      </w:pPr>
    </w:p>
    <w:p>
      <w:pPr>
        <w:spacing w:after="0" w:line="288" w:lineRule="auto"/>
        <w:jc w:val="both"/>
        <w:rPr>
          <w:rFonts w:asciiTheme="majorHAnsi" w:hAnsiTheme="majorHAnsi" w:cstheme="majorHAnsi"/>
        </w:rPr>
      </w:pPr>
      <w:r>
        <w:rPr>
          <w:rFonts w:asciiTheme="majorHAnsi" w:hAnsiTheme="majorHAnsi" w:cstheme="majorHAnsi"/>
        </w:rPr>
        <w:t>1 грудня 2021 року на засіданні НКРЕКП планується затвердження постанови щодо встановлення тарифу на послуги з передачі електричної енергії НЕК «Укренерго» на 2022 рік. Проект постанови разом з обґрунтуванням оприлюднено на офіційному веб-сайті НКРЕКП.</w:t>
      </w:r>
      <w:r>
        <w:rPr>
          <w:rStyle w:val="18"/>
          <w:rFonts w:asciiTheme="majorHAnsi" w:hAnsiTheme="majorHAnsi" w:cstheme="majorHAnsi"/>
        </w:rPr>
        <w:footnoteReference w:id="0"/>
      </w:r>
    </w:p>
    <w:p>
      <w:pPr>
        <w:shd w:val="clear" w:color="auto" w:fill="FFFFFF"/>
        <w:spacing w:after="0" w:line="288" w:lineRule="auto"/>
        <w:jc w:val="both"/>
        <w:rPr>
          <w:rFonts w:asciiTheme="majorHAnsi" w:hAnsiTheme="majorHAnsi" w:cstheme="majorHAnsi"/>
        </w:rPr>
      </w:pPr>
    </w:p>
    <w:p>
      <w:pPr>
        <w:shd w:val="clear" w:color="auto" w:fill="FFFFFF"/>
        <w:spacing w:after="0" w:line="288" w:lineRule="auto"/>
        <w:jc w:val="both"/>
        <w:rPr>
          <w:rFonts w:asciiTheme="majorHAnsi" w:hAnsiTheme="majorHAnsi" w:cstheme="majorHAnsi"/>
        </w:rPr>
      </w:pPr>
      <w:r>
        <w:rPr>
          <w:rFonts w:asciiTheme="majorHAnsi" w:hAnsiTheme="majorHAnsi" w:cstheme="majorHAnsi"/>
        </w:rPr>
        <w:t>Розглянувши опубліковані матеріали, ми хочемо зробити наступні коментарі, що переважно стосуються того, що тариф, який планує затвердити НКРКЕП суттєво нижчий, ніж той, що потребує НЕК «Укренерго», що невідворотно призведе до накопичення нових боргів перед виробниками електроенергії з відновлюваних джерел в розмірі біля 20 млрд грн та порушить низку міжнародних договорів, які підписала Україна в особі Президента України, Прем’єр-міністра України, Кабінету Міністрів та НКРЕКП, зокрема:</w:t>
      </w:r>
    </w:p>
    <w:p>
      <w:pPr>
        <w:shd w:val="clear" w:color="auto" w:fill="FFFFFF"/>
        <w:spacing w:after="0" w:line="288" w:lineRule="auto"/>
        <w:jc w:val="both"/>
        <w:rPr>
          <w:rFonts w:asciiTheme="majorHAnsi" w:hAnsiTheme="majorHAnsi" w:cstheme="majorHAnsi"/>
        </w:rPr>
      </w:pPr>
    </w:p>
    <w:p>
      <w:pPr>
        <w:pStyle w:val="30"/>
        <w:numPr>
          <w:ilvl w:val="0"/>
          <w:numId w:val="1"/>
        </w:numPr>
        <w:shd w:val="clear" w:color="auto" w:fill="FFFFFF"/>
        <w:spacing w:after="0" w:line="288" w:lineRule="auto"/>
        <w:jc w:val="both"/>
        <w:rPr>
          <w:rFonts w:asciiTheme="majorHAnsi" w:hAnsiTheme="majorHAnsi" w:cstheme="majorHAnsi"/>
        </w:rPr>
      </w:pPr>
      <w:r>
        <w:rPr>
          <w:rFonts w:asciiTheme="majorHAnsi" w:hAnsiTheme="majorHAnsi" w:cstheme="majorHAnsi"/>
        </w:rPr>
        <w:t xml:space="preserve">НКРЕКП продовжує ігнорувати механізм фінансування діяльності ДП «Гарантований покупець», передбачений частиною 7 статті 65 Закону України «Про ринок електричної енергії», та </w:t>
      </w:r>
      <w:r>
        <w:rPr>
          <w:rFonts w:asciiTheme="majorHAnsi" w:hAnsiTheme="majorHAnsi" w:cstheme="majorHAnsi"/>
          <w:b/>
          <w:bCs/>
        </w:rPr>
        <w:t xml:space="preserve">не забезпечує повне фінансування </w:t>
      </w:r>
      <w:r>
        <w:rPr>
          <w:rFonts w:asciiTheme="majorHAnsi" w:hAnsiTheme="majorHAnsi" w:cstheme="majorHAnsi"/>
          <w:b/>
          <w:bCs/>
          <w:color w:val="333333"/>
        </w:rPr>
        <w:t>послуги</w:t>
      </w:r>
      <w:r>
        <w:rPr>
          <w:rFonts w:asciiTheme="majorHAnsi" w:hAnsiTheme="majorHAnsi" w:cstheme="majorHAnsi"/>
          <w:color w:val="333333"/>
        </w:rPr>
        <w:t xml:space="preserve"> із забезпечення збільшення частки виробництва електричної енергії з альтернативних джерел </w:t>
      </w:r>
      <w:r>
        <w:rPr>
          <w:rFonts w:asciiTheme="majorHAnsi" w:hAnsiTheme="majorHAnsi" w:cstheme="majorHAnsi"/>
          <w:b/>
          <w:bCs/>
          <w:color w:val="333333"/>
        </w:rPr>
        <w:t xml:space="preserve">за рахунок тарифу на </w:t>
      </w:r>
      <w:r>
        <w:rPr>
          <w:rFonts w:asciiTheme="majorHAnsi" w:hAnsiTheme="majorHAnsi" w:cstheme="majorHAnsi"/>
          <w:b/>
          <w:bCs/>
        </w:rPr>
        <w:t>послуги з передачі електричної енергії НЕК «Укренерго»</w:t>
      </w:r>
      <w:r>
        <w:rPr>
          <w:rFonts w:asciiTheme="majorHAnsi" w:hAnsiTheme="majorHAnsi" w:cstheme="majorHAnsi"/>
        </w:rPr>
        <w:t xml:space="preserve">. Зокрема, НКРЕКП було зменшено розмір компенсації для виробників електричної енергії  з ВДЕ </w:t>
      </w:r>
      <w:r>
        <w:rPr>
          <w:rFonts w:eastAsia="Times New Roman" w:asciiTheme="majorHAnsi" w:hAnsiTheme="majorHAnsi" w:cstheme="majorHAnsi"/>
        </w:rPr>
        <w:t xml:space="preserve">на «видатки, передбачені у державному бюджеті на фінансову підтримку ДП «Гарантований покупець» для оплати електричної енергії, виробленої з альтернативних джерел», в обсязі 20% від їх прогнозної товарної продукції 2022 року. Відповідно до вже проголосованого у першому читанні Законопроекту про Державний бюджет, </w:t>
      </w:r>
      <w:r>
        <w:rPr>
          <w:rFonts w:eastAsia="Times New Roman" w:asciiTheme="majorHAnsi" w:hAnsiTheme="majorHAnsi" w:cstheme="majorHAnsi"/>
          <w:b/>
          <w:bCs/>
        </w:rPr>
        <w:t>у 2022 році у державному бюджеті не будуть передбачені жодні видатки на фінансову підтримку ДП «Гарантований покупець» та фінансування відновлюваної енергетики</w:t>
      </w:r>
      <w:r>
        <w:rPr>
          <w:rFonts w:eastAsia="Times New Roman" w:asciiTheme="majorHAnsi" w:hAnsiTheme="majorHAnsi" w:cstheme="majorHAnsi"/>
        </w:rPr>
        <w:t xml:space="preserve">. </w:t>
      </w:r>
    </w:p>
    <w:p>
      <w:pPr>
        <w:shd w:val="clear" w:color="auto" w:fill="FFFFFF"/>
        <w:spacing w:after="0" w:line="288" w:lineRule="auto"/>
        <w:ind w:left="360"/>
        <w:jc w:val="both"/>
        <w:rPr>
          <w:rFonts w:asciiTheme="majorHAnsi" w:hAnsiTheme="majorHAnsi" w:cstheme="majorHAnsi"/>
        </w:rPr>
      </w:pPr>
    </w:p>
    <w:p>
      <w:pPr>
        <w:pStyle w:val="30"/>
        <w:numPr>
          <w:ilvl w:val="0"/>
          <w:numId w:val="1"/>
        </w:numPr>
        <w:shd w:val="clear" w:color="auto" w:fill="FFFFFF"/>
        <w:spacing w:after="0" w:line="288" w:lineRule="auto"/>
        <w:jc w:val="both"/>
        <w:rPr>
          <w:rFonts w:asciiTheme="majorHAnsi" w:hAnsiTheme="majorHAnsi" w:cstheme="majorHAnsi"/>
        </w:rPr>
      </w:pPr>
      <w:r>
        <w:rPr>
          <w:rFonts w:asciiTheme="majorHAnsi" w:hAnsiTheme="majorHAnsi" w:cstheme="majorHAnsi"/>
        </w:rPr>
        <w:t xml:space="preserve">Слід зауважити, що затвердження тарифу </w:t>
      </w:r>
      <w:r>
        <w:rPr>
          <w:rFonts w:asciiTheme="majorHAnsi" w:hAnsiTheme="majorHAnsi" w:cstheme="majorHAnsi"/>
          <w:color w:val="333333"/>
        </w:rPr>
        <w:t xml:space="preserve">на </w:t>
      </w:r>
      <w:r>
        <w:rPr>
          <w:rFonts w:asciiTheme="majorHAnsi" w:hAnsiTheme="majorHAnsi" w:cstheme="majorHAnsi"/>
        </w:rPr>
        <w:t xml:space="preserve">послуги з передачі електричної енергії НЕК «Укренерго» на рівні, що </w:t>
      </w:r>
      <w:r>
        <w:rPr>
          <w:rFonts w:asciiTheme="majorHAnsi" w:hAnsiTheme="majorHAnsi" w:cstheme="majorHAnsi"/>
          <w:b/>
          <w:bCs/>
        </w:rPr>
        <w:t>не забезпечує покриття обґрунтованих економічних витрат компанії</w:t>
      </w:r>
      <w:r>
        <w:rPr>
          <w:rFonts w:asciiTheme="majorHAnsi" w:hAnsiTheme="majorHAnsi" w:cstheme="majorHAnsi"/>
        </w:rPr>
        <w:t xml:space="preserve"> суперечить зобов’язанням, які взяла на себе Україна перед міжнародними партнерами, зокрема перед </w:t>
      </w:r>
      <w:r>
        <w:rPr>
          <w:rFonts w:asciiTheme="majorHAnsi" w:hAnsiTheme="majorHAnsi" w:cstheme="majorHAnsi"/>
          <w:b/>
          <w:bCs/>
        </w:rPr>
        <w:t>Міжнародним Валютним Фондом</w:t>
      </w:r>
      <w:r>
        <w:rPr>
          <w:rFonts w:asciiTheme="majorHAnsi" w:hAnsiTheme="majorHAnsi" w:cstheme="majorHAnsi"/>
        </w:rPr>
        <w:t>. Так згідно пункту 33(а) Меморандуму про економічну та фінансову політику, який було підписано 8 листопада Президентом України та Прем’єр-Міністром України, Україна взяла наступні зобов</w:t>
      </w:r>
      <w:r>
        <w:rPr>
          <w:rFonts w:asciiTheme="majorHAnsi" w:hAnsiTheme="majorHAnsi" w:cstheme="majorHAnsi"/>
          <w:lang w:val="ru-RU"/>
        </w:rPr>
        <w:t>’</w:t>
      </w:r>
      <w:r>
        <w:rPr>
          <w:rFonts w:asciiTheme="majorHAnsi" w:hAnsiTheme="majorHAnsi" w:cstheme="majorHAnsi"/>
        </w:rPr>
        <w:t>язання:</w:t>
      </w:r>
    </w:p>
    <w:p>
      <w:pPr>
        <w:autoSpaceDE w:val="0"/>
        <w:autoSpaceDN w:val="0"/>
        <w:adjustRightInd w:val="0"/>
        <w:spacing w:after="0" w:line="240" w:lineRule="auto"/>
        <w:ind w:left="709"/>
        <w:rPr>
          <w:rFonts w:asciiTheme="majorHAnsi" w:hAnsiTheme="majorHAnsi" w:cstheme="majorHAnsi"/>
        </w:rPr>
      </w:pPr>
    </w:p>
    <w:p>
      <w:pPr>
        <w:autoSpaceDE w:val="0"/>
        <w:autoSpaceDN w:val="0"/>
        <w:adjustRightInd w:val="0"/>
        <w:spacing w:after="0" w:line="240" w:lineRule="auto"/>
        <w:ind w:left="709"/>
        <w:jc w:val="both"/>
        <w:rPr>
          <w:rFonts w:asciiTheme="majorHAnsi" w:hAnsiTheme="majorHAnsi" w:cstheme="majorHAnsi"/>
          <w:i/>
          <w:iCs/>
        </w:rPr>
      </w:pPr>
      <w:r>
        <w:rPr>
          <w:rFonts w:asciiTheme="majorHAnsi" w:hAnsiTheme="majorHAnsi" w:cstheme="majorHAnsi"/>
          <w:i/>
          <w:iCs/>
        </w:rPr>
        <w:t xml:space="preserve">«ДП «Гарантований покупець» більше не буде накопичувати заборгованість перед виробниками відновлюваних джерел енергії з 2022 року і надалі ... З цією метою ми гарантуємо, що </w:t>
      </w:r>
      <w:r>
        <w:rPr>
          <w:rFonts w:asciiTheme="majorHAnsi" w:hAnsiTheme="majorHAnsi" w:cstheme="majorHAnsi"/>
          <w:b/>
          <w:bCs/>
          <w:i/>
          <w:iCs/>
        </w:rPr>
        <w:t>регулятор (НКРЕКП) встановить тариф на передачу оператора системи передачі (TSO) на рівні достатньому для покриття</w:t>
      </w:r>
      <w:r>
        <w:rPr>
          <w:rFonts w:asciiTheme="majorHAnsi" w:hAnsiTheme="majorHAnsi" w:cstheme="majorHAnsi"/>
          <w:i/>
          <w:iCs/>
        </w:rPr>
        <w:t xml:space="preserve"> - на додаток до матеріальних та трудових витрат, капітальних видатків, виплат дивідендів та податку на прибуток - </w:t>
      </w:r>
      <w:r>
        <w:rPr>
          <w:rFonts w:asciiTheme="majorHAnsi" w:hAnsiTheme="majorHAnsi" w:cstheme="majorHAnsi"/>
          <w:b/>
          <w:bCs/>
          <w:i/>
          <w:iCs/>
        </w:rPr>
        <w:t>усіх зобов'язань перед виробниками з відновлюваних джерел (у тому числі 100 відсотків вартості очікуваного обсягу виробленої електроенергії за відповідний рік)</w:t>
      </w:r>
      <w:r>
        <w:rPr>
          <w:rFonts w:asciiTheme="majorHAnsi" w:hAnsiTheme="majorHAnsi" w:cstheme="majorHAnsi"/>
          <w:i/>
          <w:iCs/>
        </w:rPr>
        <w:t>, а також фінансові витрати, пов’язані з обслуговуванням боргу та сплатою основної суми існуючих та запланованих позик…»</w:t>
      </w:r>
    </w:p>
    <w:p>
      <w:pPr>
        <w:pStyle w:val="30"/>
        <w:rPr>
          <w:rFonts w:asciiTheme="majorHAnsi" w:hAnsiTheme="majorHAnsi" w:cstheme="majorHAnsi"/>
        </w:rPr>
      </w:pPr>
    </w:p>
    <w:p>
      <w:pPr>
        <w:pStyle w:val="30"/>
        <w:numPr>
          <w:ilvl w:val="0"/>
          <w:numId w:val="1"/>
        </w:numPr>
        <w:shd w:val="clear" w:color="auto" w:fill="FFFFFF"/>
        <w:spacing w:after="0" w:line="288" w:lineRule="auto"/>
        <w:jc w:val="both"/>
        <w:rPr>
          <w:rFonts w:asciiTheme="majorHAnsi" w:hAnsiTheme="majorHAnsi" w:cstheme="majorHAnsi"/>
        </w:rPr>
      </w:pPr>
      <w:r>
        <w:rPr>
          <w:rFonts w:asciiTheme="majorHAnsi" w:hAnsiTheme="majorHAnsi" w:cstheme="majorHAnsi"/>
        </w:rPr>
        <w:t>Також згідно Договору про заходи щодо забезпечення виконання зобов’язань за договором погашення заборгованості ПАТ «НЕК «Укренерго» перед державою за виконання гарантійних зобов’язань, що укладений між Міністерством фінансів України та ПАТ «НЕК «Укренерго» (</w:t>
      </w:r>
      <w:r>
        <w:rPr>
          <w:rFonts w:asciiTheme="majorHAnsi" w:hAnsiTheme="majorHAnsi" w:cstheme="majorHAnsi"/>
          <w:b/>
          <w:bCs/>
        </w:rPr>
        <w:t>Тристоронній Договір) від 5 листопада 2021 року, який був підписаний НКРЕКП</w:t>
      </w:r>
      <w:r>
        <w:rPr>
          <w:rFonts w:asciiTheme="majorHAnsi" w:hAnsiTheme="majorHAnsi" w:cstheme="majorHAnsi"/>
        </w:rPr>
        <w:t>, до зобов’язань НКРЕК зокрема відноситься наступне:</w:t>
      </w:r>
    </w:p>
    <w:p>
      <w:pPr>
        <w:pStyle w:val="30"/>
        <w:shd w:val="clear" w:color="auto" w:fill="FFFFFF"/>
        <w:spacing w:after="0" w:line="288" w:lineRule="auto"/>
        <w:jc w:val="both"/>
        <w:rPr>
          <w:rFonts w:asciiTheme="majorHAnsi" w:hAnsiTheme="majorHAnsi" w:cstheme="majorHAnsi"/>
        </w:rPr>
      </w:pPr>
    </w:p>
    <w:p>
      <w:pPr>
        <w:shd w:val="clear" w:color="auto" w:fill="FFFFFF"/>
        <w:spacing w:after="0" w:line="288" w:lineRule="auto"/>
        <w:ind w:left="709"/>
        <w:jc w:val="both"/>
        <w:rPr>
          <w:rFonts w:asciiTheme="majorHAnsi" w:hAnsiTheme="majorHAnsi" w:cstheme="majorHAnsi"/>
          <w:i/>
          <w:iCs/>
        </w:rPr>
      </w:pPr>
      <w:r>
        <w:rPr>
          <w:rFonts w:asciiTheme="majorHAnsi" w:hAnsiTheme="majorHAnsi" w:cstheme="majorHAnsi"/>
          <w:i/>
          <w:iCs/>
        </w:rPr>
        <w:t xml:space="preserve">«4.2. Вжити всіх необхідних заходів для </w:t>
      </w:r>
      <w:r>
        <w:rPr>
          <w:rFonts w:asciiTheme="majorHAnsi" w:hAnsiTheme="majorHAnsi" w:cstheme="majorHAnsi"/>
          <w:b/>
          <w:bCs/>
          <w:i/>
          <w:iCs/>
        </w:rPr>
        <w:t xml:space="preserve">встановлення та підтримки Тарифу в розмірі, який забезпечить повне покриття витрат Позичальнику, включаючи послугу із забезпечення частки виробництва електричної енергії з альтернативних джерел  </w:t>
      </w:r>
      <w:r>
        <w:rPr>
          <w:rFonts w:asciiTheme="majorHAnsi" w:hAnsiTheme="majorHAnsi" w:cstheme="majorHAnsi"/>
          <w:i/>
          <w:iCs/>
        </w:rPr>
        <w:t>відповідно до чинного законодавства.»</w:t>
      </w:r>
    </w:p>
    <w:p>
      <w:pPr>
        <w:pStyle w:val="30"/>
        <w:shd w:val="clear" w:color="auto" w:fill="FFFFFF"/>
        <w:spacing w:after="0" w:line="288" w:lineRule="auto"/>
        <w:jc w:val="both"/>
        <w:rPr>
          <w:rFonts w:asciiTheme="majorHAnsi" w:hAnsiTheme="majorHAnsi" w:cstheme="majorHAnsi"/>
        </w:rPr>
      </w:pPr>
      <w:r>
        <w:rPr>
          <w:rFonts w:asciiTheme="majorHAnsi" w:hAnsiTheme="majorHAnsi" w:cstheme="majorHAnsi"/>
        </w:rPr>
        <w:t xml:space="preserve"> </w:t>
      </w:r>
    </w:p>
    <w:p>
      <w:pPr>
        <w:pStyle w:val="30"/>
        <w:numPr>
          <w:ilvl w:val="0"/>
          <w:numId w:val="1"/>
        </w:numPr>
        <w:shd w:val="clear" w:color="auto" w:fill="FFFFFF"/>
        <w:spacing w:after="0" w:line="288" w:lineRule="auto"/>
        <w:jc w:val="both"/>
        <w:rPr>
          <w:rFonts w:asciiTheme="majorHAnsi" w:hAnsiTheme="majorHAnsi" w:cstheme="majorHAnsi"/>
        </w:rPr>
      </w:pPr>
      <w:r>
        <w:rPr>
          <w:rFonts w:asciiTheme="majorHAnsi" w:hAnsiTheme="majorHAnsi" w:cstheme="majorHAnsi"/>
        </w:rPr>
        <w:t xml:space="preserve">Хочемо також нагадати, що у червні 2020 року Вами, разом з Прем’єр-Міністром України та в.о. Міністра енергетики України, в рамках медіації, що проводилась Секретаріатом Енергетичного Співтовариства, було підписано Меморандум про взаєморозуміння з профільними асоціаціями, що об’єднують ВДЕ інвесторів, який включав наступне зобов’язання з боку України: </w:t>
      </w:r>
    </w:p>
    <w:p>
      <w:pPr>
        <w:pStyle w:val="30"/>
        <w:shd w:val="clear" w:color="auto" w:fill="FFFFFF"/>
        <w:spacing w:after="0" w:line="288" w:lineRule="auto"/>
        <w:jc w:val="both"/>
        <w:rPr>
          <w:rFonts w:asciiTheme="majorHAnsi" w:hAnsiTheme="majorHAnsi" w:cstheme="majorHAnsi"/>
        </w:rPr>
      </w:pPr>
    </w:p>
    <w:p>
      <w:pPr>
        <w:pStyle w:val="30"/>
        <w:shd w:val="clear" w:color="auto" w:fill="FFFFFF"/>
        <w:spacing w:after="0" w:line="288" w:lineRule="auto"/>
        <w:jc w:val="both"/>
        <w:rPr>
          <w:rFonts w:asciiTheme="majorHAnsi" w:hAnsiTheme="majorHAnsi" w:cstheme="majorHAnsi"/>
          <w:i/>
          <w:iCs/>
        </w:rPr>
      </w:pPr>
      <w:r>
        <w:rPr>
          <w:rFonts w:asciiTheme="majorHAnsi" w:hAnsiTheme="majorHAnsi" w:cstheme="majorHAnsi"/>
          <w:i/>
          <w:iCs/>
        </w:rPr>
        <w:t xml:space="preserve">«3. </w:t>
      </w:r>
      <w:r>
        <w:rPr>
          <w:b/>
          <w:bCs/>
          <w:i/>
          <w:iCs/>
        </w:rPr>
        <w:t>Державні органи України забезпечать повну та своєчасну поточну оплату Гарантованим покупцем Виробникам ВДЕ за відпущену ними електричну енергію</w:t>
      </w:r>
      <w:r>
        <w:rPr>
          <w:i/>
          <w:iCs/>
        </w:rPr>
        <w:t xml:space="preserve"> з місяця, наступного за місяцем, в якому Закон про домовленості набуде чинності</w:t>
      </w:r>
      <w:r>
        <w:rPr>
          <w:rFonts w:asciiTheme="majorHAnsi" w:hAnsiTheme="majorHAnsi" w:cstheme="majorHAnsi"/>
          <w:i/>
          <w:iCs/>
        </w:rPr>
        <w:t>» (примітка – мова йде про Закон України №810, який набув чинності 1 серпня 2020 року.</w:t>
      </w:r>
    </w:p>
    <w:p>
      <w:pPr>
        <w:pStyle w:val="30"/>
        <w:shd w:val="clear" w:color="auto" w:fill="FFFFFF"/>
        <w:spacing w:after="0" w:line="288" w:lineRule="auto"/>
        <w:jc w:val="both"/>
        <w:rPr>
          <w:rFonts w:asciiTheme="majorHAnsi" w:hAnsiTheme="majorHAnsi" w:cstheme="majorHAnsi"/>
        </w:rPr>
      </w:pPr>
    </w:p>
    <w:p>
      <w:pPr>
        <w:spacing w:after="0" w:line="288" w:lineRule="auto"/>
        <w:jc w:val="both"/>
        <w:rPr>
          <w:rFonts w:eastAsia="Times New Roman" w:asciiTheme="majorHAnsi" w:hAnsiTheme="majorHAnsi" w:cstheme="majorHAnsi"/>
        </w:rPr>
      </w:pPr>
      <w:r>
        <w:rPr>
          <w:rFonts w:eastAsia="Times New Roman" w:asciiTheme="majorHAnsi" w:hAnsiTheme="majorHAnsi" w:cstheme="majorHAnsi"/>
        </w:rPr>
        <w:t xml:space="preserve">На основі викладеного вище, просимо Вас під час розгляду зазначеного питання на засіданні 1 грудня 2021 року переглянути структуру та розмір тарифу на послуги з передачі електричної енергії НЕК «Укренерго» на 2022 рік таким чином, щоб </w:t>
      </w:r>
      <w:r>
        <w:rPr>
          <w:rFonts w:eastAsia="Times New Roman" w:asciiTheme="majorHAnsi" w:hAnsiTheme="majorHAnsi" w:cstheme="majorHAnsi"/>
          <w:b/>
          <w:bCs/>
        </w:rPr>
        <w:t>передбачити в ньому достатньо коштів для 100% розрахунків ДП «Гарантований покупець» за електричну енергію, куплену у 2021-2022 рр. у виробників електричної енергії з ВДЕ, що працюють за зеленим тарифом</w:t>
      </w:r>
      <w:r>
        <w:rPr>
          <w:rFonts w:eastAsia="Times New Roman" w:asciiTheme="majorHAnsi" w:hAnsiTheme="majorHAnsi" w:cstheme="majorHAnsi"/>
        </w:rPr>
        <w:t>.</w:t>
      </w:r>
    </w:p>
    <w:p>
      <w:pPr>
        <w:spacing w:after="0" w:line="288" w:lineRule="auto"/>
        <w:jc w:val="both"/>
        <w:rPr>
          <w:rFonts w:eastAsia="Times New Roman" w:asciiTheme="majorHAnsi" w:hAnsiTheme="majorHAnsi" w:cstheme="majorHAnsi"/>
        </w:rPr>
      </w:pPr>
    </w:p>
    <w:p>
      <w:pPr>
        <w:spacing w:after="0" w:line="288" w:lineRule="auto"/>
        <w:jc w:val="both"/>
        <w:rPr>
          <w:rFonts w:eastAsia="Times New Roman" w:asciiTheme="majorHAnsi" w:hAnsiTheme="majorHAnsi" w:cstheme="majorHAnsi"/>
        </w:rPr>
      </w:pPr>
      <w:r>
        <w:rPr>
          <w:rFonts w:eastAsia="Times New Roman" w:asciiTheme="majorHAnsi" w:hAnsiTheme="majorHAnsi" w:cstheme="majorHAnsi"/>
        </w:rPr>
        <w:t xml:space="preserve">Таке рішення не тільки дозволить </w:t>
      </w:r>
      <w:r>
        <w:rPr>
          <w:rFonts w:eastAsia="Times New Roman" w:asciiTheme="majorHAnsi" w:hAnsiTheme="majorHAnsi" w:cstheme="majorHAnsi"/>
          <w:b/>
          <w:bCs/>
        </w:rPr>
        <w:t>виконати вимоги чинного законодавства України</w:t>
      </w:r>
      <w:r>
        <w:rPr>
          <w:rFonts w:eastAsia="Times New Roman" w:asciiTheme="majorHAnsi" w:hAnsiTheme="majorHAnsi" w:cstheme="majorHAnsi"/>
        </w:rPr>
        <w:t xml:space="preserve">, зокрема Закону України «Про ринок електричної енергії», але й </w:t>
      </w:r>
      <w:r>
        <w:rPr>
          <w:rFonts w:eastAsia="Times New Roman" w:asciiTheme="majorHAnsi" w:hAnsiTheme="majorHAnsi" w:cstheme="majorHAnsi"/>
          <w:b/>
          <w:bCs/>
        </w:rPr>
        <w:t>забезпечити виконання Україною міжнародних зобов’язань</w:t>
      </w:r>
      <w:r>
        <w:rPr>
          <w:rFonts w:eastAsia="Times New Roman" w:asciiTheme="majorHAnsi" w:hAnsiTheme="majorHAnsi" w:cstheme="majorHAnsi"/>
        </w:rPr>
        <w:t xml:space="preserve"> перед МВФ, іншими міжнародними фінансовими організаціями, ВДЕ інвесторами та інвесторами в облігації НЕК «Укренерго», під якими стоять підписи Президента України, Кабінету Міністрів України та НКРЕКП.</w:t>
      </w:r>
    </w:p>
    <w:p>
      <w:pPr>
        <w:spacing w:after="0" w:line="288" w:lineRule="auto"/>
        <w:jc w:val="both"/>
        <w:rPr>
          <w:rFonts w:eastAsia="Times New Roman" w:asciiTheme="majorHAnsi" w:hAnsiTheme="majorHAnsi" w:cstheme="majorHAnsi"/>
          <w:b/>
          <w:bCs/>
          <w:i/>
          <w:iCs/>
        </w:rPr>
      </w:pPr>
    </w:p>
    <w:p>
      <w:pPr>
        <w:spacing w:after="0" w:line="288" w:lineRule="auto"/>
        <w:jc w:val="both"/>
        <w:rPr>
          <w:rFonts w:asciiTheme="majorHAnsi" w:hAnsiTheme="majorHAnsi" w:cstheme="majorHAnsi"/>
          <w:bCs/>
          <w:shd w:val="clear" w:color="auto" w:fill="FFFFFF"/>
          <w:lang w:eastAsia="uk-UA"/>
        </w:rPr>
      </w:pPr>
      <w:bookmarkStart w:id="0" w:name="_30j0zll" w:colFirst="0" w:colLast="0"/>
      <w:bookmarkEnd w:id="0"/>
      <w:r>
        <w:rPr>
          <w:rFonts w:eastAsia="Times New Roman" w:asciiTheme="majorHAnsi" w:hAnsiTheme="majorHAnsi" w:cstheme="majorHAnsi"/>
        </w:rPr>
        <w:t xml:space="preserve">Заздалегідь дякуємо за розгляд нашого листа та залишаємось у Вашому розпорядженні для надання будь-яких додаткових коментарів та пояснень. Відповідальна особа Ірина Пащук </w:t>
      </w:r>
      <w:r>
        <w:fldChar w:fldCharType="begin"/>
      </w:r>
      <w:r>
        <w:instrText xml:space="preserve"> HYPERLINK "mailto:iryna.pashchuk@euea-energyagency.org" </w:instrText>
      </w:r>
      <w:r>
        <w:fldChar w:fldCharType="separate"/>
      </w:r>
      <w:r>
        <w:rPr>
          <w:rStyle w:val="19"/>
          <w:rFonts w:eastAsia="Times New Roman" w:asciiTheme="majorHAnsi" w:hAnsiTheme="majorHAnsi" w:cstheme="majorHAnsi"/>
        </w:rPr>
        <w:t>iryna.pashchuk@euea-energyagency.org</w:t>
      </w:r>
      <w:r>
        <w:rPr>
          <w:rStyle w:val="19"/>
          <w:rFonts w:eastAsia="Times New Roman" w:asciiTheme="majorHAnsi" w:hAnsiTheme="majorHAnsi" w:cstheme="majorHAnsi"/>
        </w:rPr>
        <w:fldChar w:fldCharType="end"/>
      </w:r>
      <w:r>
        <w:rPr>
          <w:rFonts w:eastAsia="Times New Roman" w:asciiTheme="majorHAnsi" w:hAnsiTheme="majorHAnsi" w:cstheme="majorHAnsi"/>
          <w:lang w:val="ru-RU"/>
        </w:rPr>
        <w:t xml:space="preserve">.  </w:t>
      </w:r>
    </w:p>
    <w:p>
      <w:pPr>
        <w:spacing w:after="0" w:line="288" w:lineRule="auto"/>
        <w:jc w:val="both"/>
        <w:rPr>
          <w:rFonts w:asciiTheme="majorHAnsi" w:hAnsiTheme="majorHAnsi" w:cstheme="majorHAnsi"/>
          <w:bCs/>
          <w:shd w:val="clear" w:color="auto" w:fill="FFFFFF"/>
          <w:lang w:eastAsia="uk-UA"/>
        </w:rPr>
      </w:pPr>
    </w:p>
    <w:p>
      <w:pPr>
        <w:spacing w:after="0" w:line="288" w:lineRule="auto"/>
        <w:jc w:val="both"/>
        <w:rPr>
          <w:rFonts w:asciiTheme="majorHAnsi" w:hAnsiTheme="majorHAnsi" w:cstheme="majorHAnsi"/>
          <w:bCs/>
          <w:shd w:val="clear" w:color="auto" w:fill="FFFFFF"/>
          <w:lang w:eastAsia="uk-UA"/>
        </w:rPr>
      </w:pPr>
      <w:r>
        <w:rPr>
          <w:rFonts w:asciiTheme="majorHAnsi" w:hAnsiTheme="majorHAnsi" w:cstheme="majorHAnsi"/>
          <w:bCs/>
          <w:shd w:val="clear" w:color="auto" w:fill="FFFFFF"/>
          <w:lang w:eastAsia="uk-UA"/>
        </w:rPr>
        <w:t>З повагою,</w:t>
      </w:r>
    </w:p>
    <w:p>
      <w:pPr>
        <w:spacing w:after="0" w:line="288" w:lineRule="auto"/>
        <w:jc w:val="both"/>
        <w:rPr>
          <w:rFonts w:asciiTheme="majorHAnsi" w:hAnsiTheme="majorHAnsi" w:cstheme="majorHAnsi"/>
          <w:bCs/>
          <w:shd w:val="clear" w:color="auto" w:fill="FFFFFF"/>
          <w:lang w:eastAsia="uk-UA"/>
        </w:rPr>
      </w:pPr>
    </w:p>
    <w:tbl>
      <w:tblPr>
        <w:tblStyle w:val="2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563"/>
        <w:gridCol w:w="2504"/>
      </w:tblGrid>
      <w:tr>
        <w:tc>
          <w:tcPr>
            <w:tcW w:w="6563" w:type="dxa"/>
          </w:tcPr>
          <w:p>
            <w:pPr>
              <w:spacing w:after="0" w:line="276" w:lineRule="auto"/>
              <w:jc w:val="both"/>
              <w:rPr>
                <w:rFonts w:asciiTheme="majorHAnsi" w:hAnsiTheme="majorHAnsi" w:cstheme="majorHAnsi"/>
                <w:shd w:val="clear" w:color="auto" w:fill="FFFFFF"/>
              </w:rPr>
            </w:pPr>
            <w:r>
              <w:rPr>
                <w:rFonts w:asciiTheme="majorHAnsi" w:hAnsiTheme="majorHAnsi" w:cstheme="majorHAnsi"/>
                <w:shd w:val="clear" w:color="auto" w:fill="FFFFFF"/>
              </w:rPr>
              <w:t>Емма Турос</w:t>
            </w:r>
          </w:p>
          <w:p>
            <w:pPr>
              <w:spacing w:after="0" w:line="276" w:lineRule="auto"/>
              <w:jc w:val="both"/>
              <w:rPr>
                <w:rFonts w:asciiTheme="majorHAnsi" w:hAnsiTheme="majorHAnsi" w:cstheme="majorHAnsi"/>
                <w:shd w:val="clear" w:color="auto" w:fill="FFFFFF"/>
              </w:rPr>
            </w:pPr>
            <w:r>
              <w:rPr>
                <w:rFonts w:asciiTheme="majorHAnsi" w:hAnsiTheme="majorHAnsi" w:cstheme="majorHAnsi"/>
                <w:shd w:val="clear" w:color="auto" w:fill="FFFFFF"/>
              </w:rPr>
              <w:t>Виконавчий директор</w:t>
            </w:r>
            <w:r>
              <w:rPr>
                <w:rFonts w:asciiTheme="majorHAnsi" w:hAnsiTheme="majorHAnsi" w:cstheme="majorHAnsi"/>
                <w:shd w:val="clear" w:color="auto" w:fill="FFFFFF"/>
              </w:rPr>
              <w:t xml:space="preserve"> (Україна)</w:t>
            </w:r>
          </w:p>
          <w:p>
            <w:pPr>
              <w:spacing w:after="0" w:line="276" w:lineRule="auto"/>
              <w:jc w:val="both"/>
              <w:rPr>
                <w:rFonts w:asciiTheme="majorHAnsi" w:hAnsiTheme="majorHAnsi" w:cstheme="majorHAnsi"/>
                <w:b/>
                <w:shd w:val="clear" w:color="auto" w:fill="FFFFFF"/>
              </w:rPr>
            </w:pPr>
            <w:r>
              <w:rPr>
                <w:rFonts w:asciiTheme="majorHAnsi" w:hAnsiTheme="majorHAnsi" w:cstheme="majorHAnsi"/>
                <w:b/>
                <w:shd w:val="clear" w:color="auto" w:fill="FFFFFF"/>
              </w:rPr>
              <w:t>Канадсько-</w:t>
            </w:r>
            <w:r>
              <w:rPr>
                <w:rFonts w:asciiTheme="majorHAnsi" w:hAnsiTheme="majorHAnsi" w:cstheme="majorHAnsi"/>
                <w:b/>
                <w:shd w:val="clear" w:color="auto" w:fill="FFFFFF"/>
              </w:rPr>
              <w:t>у</w:t>
            </w:r>
            <w:r>
              <w:rPr>
                <w:rFonts w:asciiTheme="majorHAnsi" w:hAnsiTheme="majorHAnsi" w:cstheme="majorHAnsi"/>
                <w:b/>
                <w:shd w:val="clear" w:color="auto" w:fill="FFFFFF"/>
              </w:rPr>
              <w:t xml:space="preserve">країнської </w:t>
            </w:r>
            <w:r>
              <w:rPr>
                <w:rFonts w:asciiTheme="majorHAnsi" w:hAnsiTheme="majorHAnsi" w:cstheme="majorHAnsi"/>
                <w:b/>
                <w:shd w:val="clear" w:color="auto" w:fill="FFFFFF"/>
              </w:rPr>
              <w:t>т</w:t>
            </w:r>
            <w:r>
              <w:rPr>
                <w:rFonts w:asciiTheme="majorHAnsi" w:hAnsiTheme="majorHAnsi" w:cstheme="majorHAnsi"/>
                <w:b/>
                <w:shd w:val="clear" w:color="auto" w:fill="FFFFFF"/>
              </w:rPr>
              <w:t xml:space="preserve">оргової </w:t>
            </w:r>
            <w:r>
              <w:rPr>
                <w:rFonts w:asciiTheme="majorHAnsi" w:hAnsiTheme="majorHAnsi" w:cstheme="majorHAnsi"/>
                <w:b/>
                <w:shd w:val="clear" w:color="auto" w:fill="FFFFFF"/>
              </w:rPr>
              <w:t>п</w:t>
            </w:r>
            <w:r>
              <w:rPr>
                <w:rFonts w:asciiTheme="majorHAnsi" w:hAnsiTheme="majorHAnsi" w:cstheme="majorHAnsi"/>
                <w:b/>
                <w:shd w:val="clear" w:color="auto" w:fill="FFFFFF"/>
              </w:rPr>
              <w:t>алати</w:t>
            </w:r>
          </w:p>
          <w:p>
            <w:pPr>
              <w:spacing w:after="0" w:line="276" w:lineRule="auto"/>
              <w:jc w:val="both"/>
              <w:rPr>
                <w:rFonts w:asciiTheme="majorHAnsi" w:hAnsiTheme="majorHAnsi" w:cstheme="majorHAnsi"/>
                <w:bCs/>
                <w:shd w:val="clear" w:color="auto" w:fill="FFFFFF"/>
                <w:lang w:val="ru-RU" w:eastAsia="uk-UA"/>
              </w:rPr>
            </w:pPr>
          </w:p>
        </w:tc>
        <w:tc>
          <w:tcPr>
            <w:tcW w:w="2504" w:type="dxa"/>
          </w:tcPr>
          <w:p>
            <w:pPr>
              <w:spacing w:after="0" w:line="276" w:lineRule="auto"/>
              <w:jc w:val="both"/>
              <w:rPr>
                <w:rFonts w:asciiTheme="majorHAnsi" w:hAnsiTheme="majorHAnsi" w:cstheme="majorHAnsi"/>
                <w:bCs/>
                <w:shd w:val="clear" w:color="auto" w:fill="FFFFFF"/>
                <w:lang w:val="ru-RU" w:eastAsia="uk-UA"/>
              </w:rPr>
            </w:pPr>
          </w:p>
        </w:tc>
      </w:tr>
      <w:tr>
        <w:tc>
          <w:tcPr>
            <w:tcW w:w="6563" w:type="dxa"/>
          </w:tcPr>
          <w:p>
            <w:pPr>
              <w:spacing w:after="0" w:line="276" w:lineRule="auto"/>
              <w:jc w:val="both"/>
              <w:rPr>
                <w:rFonts w:asciiTheme="majorHAnsi" w:hAnsiTheme="majorHAnsi" w:cstheme="majorHAnsi"/>
                <w:shd w:val="clear" w:color="auto" w:fill="FFFFFF"/>
              </w:rPr>
            </w:pPr>
            <w:r>
              <w:rPr>
                <w:rFonts w:asciiTheme="majorHAnsi" w:hAnsiTheme="majorHAnsi" w:cstheme="majorHAnsi"/>
                <w:shd w:val="clear" w:color="auto" w:fill="FFFFFF"/>
              </w:rPr>
              <w:t>Олександра Гуменюк</w:t>
            </w:r>
          </w:p>
          <w:p>
            <w:pPr>
              <w:spacing w:after="0" w:line="276" w:lineRule="auto"/>
              <w:jc w:val="both"/>
              <w:rPr>
                <w:rFonts w:asciiTheme="majorHAnsi" w:hAnsiTheme="majorHAnsi" w:cstheme="majorHAnsi"/>
                <w:shd w:val="clear" w:color="auto" w:fill="FFFFFF"/>
              </w:rPr>
            </w:pPr>
            <w:r>
              <w:rPr>
                <w:rFonts w:asciiTheme="majorHAnsi" w:hAnsiTheme="majorHAnsi" w:cstheme="majorHAnsi"/>
                <w:shd w:val="clear" w:color="auto" w:fill="FFFFFF"/>
              </w:rPr>
              <w:t>Директор</w:t>
            </w:r>
          </w:p>
          <w:p>
            <w:pPr>
              <w:spacing w:after="0" w:line="276" w:lineRule="auto"/>
              <w:jc w:val="both"/>
              <w:rPr>
                <w:rFonts w:asciiTheme="majorHAnsi" w:hAnsiTheme="majorHAnsi" w:cstheme="majorHAnsi"/>
                <w:shd w:val="clear" w:color="auto" w:fill="FFFFFF"/>
                <w:lang w:val="ru-RU"/>
              </w:rPr>
            </w:pPr>
            <w:r>
              <w:rPr>
                <w:rFonts w:asciiTheme="majorHAnsi" w:hAnsiTheme="majorHAnsi" w:cstheme="majorHAnsi"/>
                <w:b/>
                <w:shd w:val="clear" w:color="auto" w:fill="FFFFFF"/>
              </w:rPr>
              <w:t>Європейсько-</w:t>
            </w:r>
            <w:r>
              <w:rPr>
                <w:rFonts w:asciiTheme="majorHAnsi" w:hAnsiTheme="majorHAnsi" w:cstheme="majorHAnsi"/>
                <w:b/>
                <w:shd w:val="clear" w:color="auto" w:fill="FFFFFF"/>
              </w:rPr>
              <w:t>у</w:t>
            </w:r>
            <w:r>
              <w:rPr>
                <w:rFonts w:asciiTheme="majorHAnsi" w:hAnsiTheme="majorHAnsi" w:cstheme="majorHAnsi"/>
                <w:b/>
                <w:shd w:val="clear" w:color="auto" w:fill="FFFFFF"/>
              </w:rPr>
              <w:t xml:space="preserve">країнського </w:t>
            </w:r>
            <w:r>
              <w:rPr>
                <w:rFonts w:asciiTheme="majorHAnsi" w:hAnsiTheme="majorHAnsi" w:cstheme="majorHAnsi"/>
                <w:b/>
                <w:shd w:val="clear" w:color="auto" w:fill="FFFFFF"/>
              </w:rPr>
              <w:t>е</w:t>
            </w:r>
            <w:r>
              <w:rPr>
                <w:rFonts w:asciiTheme="majorHAnsi" w:hAnsiTheme="majorHAnsi" w:cstheme="majorHAnsi"/>
                <w:b/>
                <w:shd w:val="clear" w:color="auto" w:fill="FFFFFF"/>
              </w:rPr>
              <w:t xml:space="preserve">нергетичного </w:t>
            </w:r>
            <w:r>
              <w:rPr>
                <w:rFonts w:asciiTheme="majorHAnsi" w:hAnsiTheme="majorHAnsi" w:cstheme="majorHAnsi"/>
                <w:b/>
                <w:shd w:val="clear" w:color="auto" w:fill="FFFFFF"/>
              </w:rPr>
              <w:t>а</w:t>
            </w:r>
            <w:r>
              <w:rPr>
                <w:rFonts w:asciiTheme="majorHAnsi" w:hAnsiTheme="majorHAnsi" w:cstheme="majorHAnsi"/>
                <w:b/>
                <w:shd w:val="clear" w:color="auto" w:fill="FFFFFF"/>
              </w:rPr>
              <w:t>гентства</w:t>
            </w:r>
          </w:p>
          <w:p>
            <w:pPr>
              <w:spacing w:after="0" w:line="276" w:lineRule="auto"/>
              <w:jc w:val="both"/>
              <w:rPr>
                <w:rFonts w:asciiTheme="majorHAnsi" w:hAnsiTheme="majorHAnsi" w:cstheme="majorHAnsi"/>
                <w:shd w:val="clear" w:color="auto" w:fill="FFFFFF"/>
                <w:lang w:val="ru-RU"/>
              </w:rPr>
            </w:pPr>
          </w:p>
        </w:tc>
        <w:tc>
          <w:tcPr>
            <w:tcW w:w="2504" w:type="dxa"/>
          </w:tcPr>
          <w:p>
            <w:pPr>
              <w:spacing w:after="0" w:line="276" w:lineRule="auto"/>
              <w:jc w:val="both"/>
              <w:rPr>
                <w:rFonts w:asciiTheme="majorHAnsi" w:hAnsiTheme="majorHAnsi" w:cstheme="majorHAnsi"/>
                <w:bCs/>
                <w:shd w:val="clear" w:color="auto" w:fill="FFFFFF"/>
                <w:lang w:val="ru-RU" w:eastAsia="uk-UA"/>
              </w:rPr>
            </w:pPr>
          </w:p>
        </w:tc>
      </w:tr>
      <w:tr>
        <w:tc>
          <w:tcPr>
            <w:tcW w:w="6563" w:type="dxa"/>
          </w:tcPr>
          <w:p>
            <w:pPr>
              <w:spacing w:after="0" w:line="276" w:lineRule="auto"/>
              <w:jc w:val="both"/>
              <w:rPr>
                <w:rFonts w:asciiTheme="majorHAnsi" w:hAnsiTheme="majorHAnsi" w:cstheme="majorHAnsi"/>
                <w:bCs/>
                <w:shd w:val="clear" w:color="auto" w:fill="FFFFFF"/>
                <w:lang w:eastAsia="uk-UA"/>
              </w:rPr>
            </w:pPr>
            <w:r>
              <w:rPr>
                <w:rFonts w:asciiTheme="majorHAnsi" w:hAnsiTheme="majorHAnsi" w:cstheme="majorHAnsi"/>
                <w:bCs/>
                <w:shd w:val="clear" w:color="auto" w:fill="FFFFFF"/>
                <w:lang w:eastAsia="uk-UA"/>
              </w:rPr>
              <w:t>Бертран Барр’є</w:t>
            </w:r>
          </w:p>
          <w:p>
            <w:pPr>
              <w:spacing w:after="0" w:line="276" w:lineRule="auto"/>
              <w:jc w:val="both"/>
              <w:rPr>
                <w:rFonts w:asciiTheme="majorHAnsi" w:hAnsiTheme="majorHAnsi" w:cstheme="majorHAnsi"/>
                <w:bCs/>
                <w:shd w:val="clear" w:color="auto" w:fill="FFFFFF"/>
                <w:lang w:eastAsia="uk-UA"/>
              </w:rPr>
            </w:pPr>
            <w:r>
              <w:rPr>
                <w:rFonts w:asciiTheme="majorHAnsi" w:hAnsiTheme="majorHAnsi" w:cstheme="majorHAnsi"/>
                <w:bCs/>
                <w:shd w:val="clear" w:color="auto" w:fill="FFFFFF"/>
                <w:lang w:eastAsia="uk-UA"/>
              </w:rPr>
              <w:t>Президент</w:t>
            </w:r>
          </w:p>
          <w:p>
            <w:pPr>
              <w:spacing w:after="0" w:line="276" w:lineRule="auto"/>
              <w:jc w:val="both"/>
              <w:rPr>
                <w:rFonts w:asciiTheme="majorHAnsi" w:hAnsiTheme="majorHAnsi" w:cstheme="majorHAnsi"/>
                <w:bCs/>
                <w:shd w:val="clear" w:color="auto" w:fill="FFFFFF"/>
                <w:lang w:eastAsia="uk-UA"/>
              </w:rPr>
            </w:pPr>
            <w:r>
              <w:rPr>
                <w:rFonts w:asciiTheme="majorHAnsi" w:hAnsiTheme="majorHAnsi" w:cstheme="majorHAnsi"/>
                <w:b/>
                <w:bCs/>
                <w:shd w:val="clear" w:color="auto" w:fill="FFFFFF"/>
                <w:lang w:eastAsia="uk-UA"/>
              </w:rPr>
              <w:t>Франко-</w:t>
            </w:r>
            <w:r>
              <w:rPr>
                <w:rFonts w:asciiTheme="majorHAnsi" w:hAnsiTheme="majorHAnsi" w:cstheme="majorHAnsi"/>
                <w:b/>
                <w:bCs/>
                <w:shd w:val="clear" w:color="auto" w:fill="FFFFFF"/>
                <w:lang w:eastAsia="uk-UA"/>
              </w:rPr>
              <w:t>у</w:t>
            </w:r>
            <w:r>
              <w:rPr>
                <w:rFonts w:asciiTheme="majorHAnsi" w:hAnsiTheme="majorHAnsi" w:cstheme="majorHAnsi"/>
                <w:b/>
                <w:bCs/>
                <w:shd w:val="clear" w:color="auto" w:fill="FFFFFF"/>
                <w:lang w:eastAsia="uk-UA"/>
              </w:rPr>
              <w:t xml:space="preserve">країнської </w:t>
            </w:r>
            <w:r>
              <w:rPr>
                <w:rFonts w:asciiTheme="majorHAnsi" w:hAnsiTheme="majorHAnsi" w:cstheme="majorHAnsi"/>
                <w:b/>
                <w:bCs/>
                <w:shd w:val="clear" w:color="auto" w:fill="FFFFFF"/>
                <w:lang w:eastAsia="uk-UA"/>
              </w:rPr>
              <w:t>т</w:t>
            </w:r>
            <w:r>
              <w:rPr>
                <w:rFonts w:asciiTheme="majorHAnsi" w:hAnsiTheme="majorHAnsi" w:cstheme="majorHAnsi"/>
                <w:b/>
                <w:bCs/>
                <w:shd w:val="clear" w:color="auto" w:fill="FFFFFF"/>
                <w:lang w:eastAsia="uk-UA"/>
              </w:rPr>
              <w:t>оргово-</w:t>
            </w:r>
            <w:r>
              <w:rPr>
                <w:rFonts w:asciiTheme="majorHAnsi" w:hAnsiTheme="majorHAnsi" w:cstheme="majorHAnsi"/>
                <w:b/>
                <w:bCs/>
                <w:shd w:val="clear" w:color="auto" w:fill="FFFFFF"/>
                <w:lang w:eastAsia="uk-UA"/>
              </w:rPr>
              <w:t>п</w:t>
            </w:r>
            <w:r>
              <w:rPr>
                <w:rFonts w:asciiTheme="majorHAnsi" w:hAnsiTheme="majorHAnsi" w:cstheme="majorHAnsi"/>
                <w:b/>
                <w:bCs/>
                <w:shd w:val="clear" w:color="auto" w:fill="FFFFFF"/>
                <w:lang w:eastAsia="uk-UA"/>
              </w:rPr>
              <w:t xml:space="preserve">ромислової </w:t>
            </w:r>
            <w:r>
              <w:rPr>
                <w:rFonts w:asciiTheme="majorHAnsi" w:hAnsiTheme="majorHAnsi" w:cstheme="majorHAnsi"/>
                <w:b/>
                <w:bCs/>
                <w:shd w:val="clear" w:color="auto" w:fill="FFFFFF"/>
                <w:lang w:eastAsia="uk-UA"/>
              </w:rPr>
              <w:t>п</w:t>
            </w:r>
            <w:r>
              <w:rPr>
                <w:rFonts w:asciiTheme="majorHAnsi" w:hAnsiTheme="majorHAnsi" w:cstheme="majorHAnsi"/>
                <w:b/>
                <w:bCs/>
                <w:shd w:val="clear" w:color="auto" w:fill="FFFFFF"/>
                <w:lang w:eastAsia="uk-UA"/>
              </w:rPr>
              <w:t>алати</w:t>
            </w:r>
          </w:p>
          <w:p>
            <w:pPr>
              <w:spacing w:after="0" w:line="276" w:lineRule="auto"/>
              <w:jc w:val="both"/>
              <w:rPr>
                <w:rFonts w:asciiTheme="majorHAnsi" w:hAnsiTheme="majorHAnsi" w:cstheme="majorHAnsi"/>
                <w:shd w:val="clear" w:color="auto" w:fill="FFFFFF"/>
              </w:rPr>
            </w:pPr>
          </w:p>
        </w:tc>
        <w:tc>
          <w:tcPr>
            <w:tcW w:w="2504" w:type="dxa"/>
          </w:tcPr>
          <w:p>
            <w:pPr>
              <w:spacing w:after="0" w:line="276" w:lineRule="auto"/>
              <w:jc w:val="both"/>
              <w:rPr>
                <w:rFonts w:asciiTheme="majorHAnsi" w:hAnsiTheme="majorHAnsi" w:cstheme="majorHAnsi"/>
                <w:bCs/>
                <w:shd w:val="clear" w:color="auto" w:fill="FFFFFF"/>
                <w:lang w:eastAsia="uk-UA"/>
              </w:rPr>
            </w:pPr>
          </w:p>
        </w:tc>
      </w:tr>
      <w:tr>
        <w:tc>
          <w:tcPr>
            <w:tcW w:w="6563" w:type="dxa"/>
          </w:tcPr>
          <w:p>
            <w:pPr>
              <w:shd w:val="clear" w:color="auto" w:fill="FFFFFF"/>
              <w:spacing w:after="0" w:line="240" w:lineRule="auto"/>
              <w:rPr>
                <w:rFonts w:asciiTheme="majorHAnsi" w:hAnsiTheme="majorHAnsi" w:cstheme="majorHAnsi"/>
              </w:rPr>
            </w:pPr>
            <w:r>
              <w:rPr>
                <w:rFonts w:asciiTheme="majorHAnsi" w:hAnsiTheme="majorHAnsi" w:cstheme="majorHAnsi"/>
              </w:rPr>
              <w:t>К</w:t>
            </w:r>
            <w:r>
              <w:rPr>
                <w:rFonts w:asciiTheme="majorHAnsi" w:hAnsiTheme="majorHAnsi" w:cstheme="majorHAnsi"/>
              </w:rPr>
              <w:t>ь</w:t>
            </w:r>
            <w:r>
              <w:rPr>
                <w:rFonts w:asciiTheme="majorHAnsi" w:hAnsiTheme="majorHAnsi" w:cstheme="majorHAnsi"/>
              </w:rPr>
              <w:t>яртан Педерсен</w:t>
            </w:r>
          </w:p>
          <w:p>
            <w:pPr>
              <w:shd w:val="clear" w:color="auto" w:fill="FFFFFF"/>
              <w:spacing w:after="0" w:line="240" w:lineRule="auto"/>
              <w:rPr>
                <w:rFonts w:asciiTheme="majorHAnsi" w:hAnsiTheme="majorHAnsi" w:cstheme="majorHAnsi"/>
              </w:rPr>
            </w:pPr>
            <w:r>
              <w:rPr>
                <w:rFonts w:asciiTheme="majorHAnsi" w:hAnsiTheme="majorHAnsi" w:cstheme="majorHAnsi"/>
              </w:rPr>
              <w:t>Керуючий директор</w:t>
            </w:r>
          </w:p>
          <w:p>
            <w:pPr>
              <w:shd w:val="clear" w:color="auto" w:fill="FFFFFF"/>
              <w:spacing w:after="0" w:line="240" w:lineRule="auto"/>
              <w:rPr>
                <w:rFonts w:asciiTheme="majorHAnsi" w:hAnsiTheme="majorHAnsi" w:cstheme="majorHAnsi"/>
              </w:rPr>
            </w:pPr>
            <w:r>
              <w:rPr>
                <w:rFonts w:asciiTheme="majorHAnsi" w:hAnsiTheme="majorHAnsi" w:cstheme="majorHAnsi"/>
                <w:b/>
                <w:bCs/>
              </w:rPr>
              <w:t>Норвезько-</w:t>
            </w:r>
            <w:r>
              <w:rPr>
                <w:rFonts w:asciiTheme="majorHAnsi" w:hAnsiTheme="majorHAnsi" w:cstheme="majorHAnsi"/>
                <w:b/>
                <w:bCs/>
              </w:rPr>
              <w:t>у</w:t>
            </w:r>
            <w:r>
              <w:rPr>
                <w:rFonts w:asciiTheme="majorHAnsi" w:hAnsiTheme="majorHAnsi" w:cstheme="majorHAnsi"/>
                <w:b/>
                <w:bCs/>
              </w:rPr>
              <w:t xml:space="preserve">країнської </w:t>
            </w:r>
            <w:r>
              <w:rPr>
                <w:rFonts w:asciiTheme="majorHAnsi" w:hAnsiTheme="majorHAnsi" w:cstheme="majorHAnsi"/>
                <w:b/>
                <w:bCs/>
              </w:rPr>
              <w:t>т</w:t>
            </w:r>
            <w:r>
              <w:rPr>
                <w:rFonts w:asciiTheme="majorHAnsi" w:hAnsiTheme="majorHAnsi" w:cstheme="majorHAnsi"/>
                <w:b/>
                <w:bCs/>
              </w:rPr>
              <w:t xml:space="preserve">оргової </w:t>
            </w:r>
            <w:r>
              <w:rPr>
                <w:rFonts w:asciiTheme="majorHAnsi" w:hAnsiTheme="majorHAnsi" w:cstheme="majorHAnsi"/>
                <w:b/>
                <w:bCs/>
              </w:rPr>
              <w:t>п</w:t>
            </w:r>
            <w:r>
              <w:rPr>
                <w:rFonts w:asciiTheme="majorHAnsi" w:hAnsiTheme="majorHAnsi" w:cstheme="majorHAnsi"/>
                <w:b/>
                <w:bCs/>
              </w:rPr>
              <w:t>алати</w:t>
            </w:r>
          </w:p>
          <w:p>
            <w:pPr>
              <w:shd w:val="clear" w:color="auto" w:fill="FFFFFF"/>
              <w:spacing w:after="0" w:line="240" w:lineRule="auto"/>
              <w:rPr>
                <w:rFonts w:asciiTheme="majorHAnsi" w:hAnsiTheme="majorHAnsi" w:cstheme="majorHAnsi"/>
              </w:rPr>
            </w:pPr>
          </w:p>
        </w:tc>
        <w:tc>
          <w:tcPr>
            <w:tcW w:w="2504" w:type="dxa"/>
          </w:tcPr>
          <w:p>
            <w:pPr>
              <w:spacing w:after="0" w:line="276" w:lineRule="auto"/>
              <w:jc w:val="both"/>
              <w:rPr>
                <w:rFonts w:asciiTheme="majorHAnsi" w:hAnsiTheme="majorHAnsi" w:cstheme="majorHAnsi"/>
                <w:bCs/>
                <w:shd w:val="clear" w:color="auto" w:fill="FFFFFF"/>
                <w:lang w:val="ru-RU" w:eastAsia="uk-UA"/>
              </w:rPr>
            </w:pPr>
          </w:p>
        </w:tc>
      </w:tr>
      <w:tr>
        <w:tc>
          <w:tcPr>
            <w:tcW w:w="6563" w:type="dxa"/>
          </w:tcPr>
          <w:p>
            <w:pPr>
              <w:shd w:val="clear" w:color="auto" w:fill="FFFFFF"/>
              <w:spacing w:after="0" w:line="240" w:lineRule="auto"/>
              <w:jc w:val="both"/>
              <w:rPr>
                <w:rFonts w:asciiTheme="majorHAnsi" w:hAnsiTheme="majorHAnsi" w:cstheme="majorHAnsi"/>
              </w:rPr>
            </w:pPr>
            <w:r>
              <w:rPr>
                <w:rFonts w:asciiTheme="majorHAnsi" w:hAnsiTheme="majorHAnsi" w:cstheme="majorHAnsi"/>
              </w:rPr>
              <w:t>Богдан Сенчук</w:t>
            </w:r>
          </w:p>
          <w:p>
            <w:pPr>
              <w:shd w:val="clear" w:color="auto" w:fill="FFFFFF"/>
              <w:spacing w:after="0" w:line="240" w:lineRule="auto"/>
              <w:jc w:val="both"/>
              <w:rPr>
                <w:rFonts w:asciiTheme="majorHAnsi" w:hAnsiTheme="majorHAnsi" w:cstheme="majorHAnsi"/>
              </w:rPr>
            </w:pPr>
            <w:r>
              <w:rPr>
                <w:rFonts w:asciiTheme="majorHAnsi" w:hAnsiTheme="majorHAnsi" w:cstheme="majorHAnsi"/>
              </w:rPr>
              <w:t>Президент</w:t>
            </w:r>
          </w:p>
          <w:p>
            <w:pPr>
              <w:shd w:val="clear" w:color="auto" w:fill="FFFFFF"/>
              <w:spacing w:after="0" w:line="240" w:lineRule="auto"/>
              <w:jc w:val="both"/>
              <w:rPr>
                <w:rFonts w:asciiTheme="majorHAnsi" w:hAnsiTheme="majorHAnsi" w:cstheme="majorHAnsi"/>
                <w:lang w:val="ru-RU"/>
              </w:rPr>
            </w:pPr>
            <w:r>
              <w:rPr>
                <w:rFonts w:asciiTheme="majorHAnsi" w:hAnsiTheme="majorHAnsi" w:cstheme="majorHAnsi"/>
                <w:b/>
                <w:lang w:val="ru-RU"/>
              </w:rPr>
              <w:t>Шведськ</w:t>
            </w:r>
            <w:r>
              <w:rPr>
                <w:rFonts w:asciiTheme="majorHAnsi" w:hAnsiTheme="majorHAnsi" w:cstheme="majorHAnsi"/>
                <w:b/>
              </w:rPr>
              <w:t>ої</w:t>
            </w:r>
            <w:r>
              <w:rPr>
                <w:rFonts w:asciiTheme="majorHAnsi" w:hAnsiTheme="majorHAnsi" w:cstheme="majorHAnsi"/>
                <w:b/>
                <w:lang w:val="ru-RU"/>
              </w:rPr>
              <w:t xml:space="preserve"> </w:t>
            </w:r>
            <w:r>
              <w:rPr>
                <w:rFonts w:asciiTheme="majorHAnsi" w:hAnsiTheme="majorHAnsi" w:cstheme="majorHAnsi"/>
                <w:b/>
              </w:rPr>
              <w:t>б</w:t>
            </w:r>
            <w:r>
              <w:rPr>
                <w:rFonts w:asciiTheme="majorHAnsi" w:hAnsiTheme="majorHAnsi" w:cstheme="majorHAnsi"/>
                <w:b/>
                <w:lang w:val="ru-RU"/>
              </w:rPr>
              <w:t>ізнес</w:t>
            </w:r>
            <w:r>
              <w:rPr>
                <w:rFonts w:asciiTheme="majorHAnsi" w:hAnsiTheme="majorHAnsi" w:cstheme="majorHAnsi"/>
                <w:b/>
              </w:rPr>
              <w:t>-а</w:t>
            </w:r>
            <w:r>
              <w:rPr>
                <w:rFonts w:asciiTheme="majorHAnsi" w:hAnsiTheme="majorHAnsi" w:cstheme="majorHAnsi"/>
                <w:b/>
                <w:lang w:val="ru-RU"/>
              </w:rPr>
              <w:t>соціаці</w:t>
            </w:r>
            <w:r>
              <w:rPr>
                <w:rFonts w:asciiTheme="majorHAnsi" w:hAnsiTheme="majorHAnsi" w:cstheme="majorHAnsi"/>
                <w:b/>
              </w:rPr>
              <w:t>ї</w:t>
            </w:r>
            <w:r>
              <w:rPr>
                <w:rFonts w:asciiTheme="majorHAnsi" w:hAnsiTheme="majorHAnsi" w:cstheme="majorHAnsi"/>
                <w:b/>
                <w:lang w:val="ru-RU"/>
              </w:rPr>
              <w:t xml:space="preserve"> в Україні</w:t>
            </w:r>
          </w:p>
          <w:p>
            <w:pPr>
              <w:shd w:val="clear" w:color="auto" w:fill="FFFFFF"/>
              <w:spacing w:after="0" w:line="240" w:lineRule="auto"/>
              <w:jc w:val="both"/>
              <w:rPr>
                <w:rFonts w:asciiTheme="majorHAnsi" w:hAnsiTheme="majorHAnsi" w:cstheme="majorHAnsi"/>
                <w:bCs/>
                <w:shd w:val="clear" w:color="auto" w:fill="FFFFFF"/>
                <w:lang w:eastAsia="uk-UA"/>
              </w:rPr>
            </w:pPr>
          </w:p>
          <w:p>
            <w:pPr>
              <w:shd w:val="clear" w:color="auto" w:fill="FFFFFF"/>
              <w:spacing w:after="0" w:line="240" w:lineRule="auto"/>
              <w:jc w:val="both"/>
              <w:rPr>
                <w:rFonts w:asciiTheme="majorHAnsi" w:hAnsiTheme="majorHAnsi" w:cstheme="majorHAnsi"/>
                <w:bCs/>
                <w:shd w:val="clear" w:color="auto" w:fill="FFFFFF"/>
                <w:lang w:eastAsia="uk-UA"/>
              </w:rPr>
            </w:pPr>
          </w:p>
          <w:p>
            <w:pPr>
              <w:shd w:val="clear" w:color="auto" w:fill="FFFFFF"/>
              <w:spacing w:after="0" w:line="240" w:lineRule="auto"/>
              <w:jc w:val="both"/>
              <w:rPr>
                <w:rFonts w:asciiTheme="majorHAnsi" w:hAnsiTheme="majorHAnsi" w:cstheme="majorHAnsi"/>
                <w:bCs/>
                <w:shd w:val="clear" w:color="auto" w:fill="FFFFFF"/>
                <w:lang w:eastAsia="uk-UA"/>
              </w:rPr>
            </w:pPr>
          </w:p>
          <w:p>
            <w:pPr>
              <w:shd w:val="clear" w:color="auto" w:fill="FFFFFF"/>
              <w:spacing w:after="0" w:line="240" w:lineRule="auto"/>
              <w:jc w:val="both"/>
              <w:rPr>
                <w:rFonts w:asciiTheme="majorHAnsi" w:hAnsiTheme="majorHAnsi" w:cstheme="majorHAnsi"/>
                <w:bCs/>
                <w:shd w:val="clear" w:color="auto" w:fill="FFFFFF"/>
                <w:lang w:eastAsia="uk-UA"/>
              </w:rPr>
            </w:pPr>
          </w:p>
        </w:tc>
        <w:tc>
          <w:tcPr>
            <w:tcW w:w="2504" w:type="dxa"/>
          </w:tcPr>
          <w:p>
            <w:pPr>
              <w:spacing w:after="0" w:line="240" w:lineRule="auto"/>
              <w:jc w:val="both"/>
              <w:rPr>
                <w:rFonts w:asciiTheme="majorHAnsi" w:hAnsiTheme="majorHAnsi" w:cstheme="majorHAnsi"/>
                <w:bCs/>
                <w:shd w:val="clear" w:color="auto" w:fill="FFFFFF"/>
                <w:lang w:eastAsia="uk-UA"/>
              </w:rPr>
            </w:pPr>
          </w:p>
        </w:tc>
      </w:tr>
      <w:tr>
        <w:tc>
          <w:tcPr>
            <w:tcW w:w="6563" w:type="dxa"/>
          </w:tcPr>
          <w:p>
            <w:pPr>
              <w:spacing w:after="0" w:line="240" w:lineRule="auto"/>
              <w:jc w:val="both"/>
              <w:rPr>
                <w:rFonts w:hint="default" w:asciiTheme="majorHAnsi" w:hAnsiTheme="majorHAnsi" w:cstheme="majorHAnsi"/>
                <w:b w:val="0"/>
                <w:bCs w:val="0"/>
                <w:sz w:val="22"/>
                <w:szCs w:val="22"/>
              </w:rPr>
            </w:pPr>
            <w:r>
              <w:rPr>
                <w:rFonts w:hint="default" w:asciiTheme="majorHAnsi" w:hAnsiTheme="majorHAnsi" w:cstheme="majorHAnsi"/>
                <w:b w:val="0"/>
                <w:bCs w:val="0"/>
                <w:sz w:val="22"/>
                <w:szCs w:val="22"/>
              </w:rPr>
              <w:t xml:space="preserve">Дмитро Сіденко </w:t>
            </w:r>
          </w:p>
          <w:p>
            <w:pPr>
              <w:spacing w:after="0" w:line="240" w:lineRule="auto"/>
              <w:jc w:val="both"/>
              <w:rPr>
                <w:rFonts w:hint="default" w:asciiTheme="majorHAnsi" w:hAnsiTheme="majorHAnsi" w:cstheme="majorHAnsi"/>
                <w:b w:val="0"/>
                <w:bCs w:val="0"/>
                <w:sz w:val="22"/>
                <w:szCs w:val="22"/>
              </w:rPr>
            </w:pPr>
            <w:r>
              <w:rPr>
                <w:rFonts w:hint="default" w:asciiTheme="majorHAnsi" w:hAnsiTheme="majorHAnsi" w:cstheme="majorHAnsi"/>
                <w:b w:val="0"/>
                <w:bCs w:val="0"/>
                <w:sz w:val="22"/>
                <w:szCs w:val="22"/>
              </w:rPr>
              <w:t>Президент</w:t>
            </w:r>
          </w:p>
          <w:p>
            <w:pPr>
              <w:spacing w:after="0" w:line="240" w:lineRule="auto"/>
              <w:jc w:val="both"/>
              <w:rPr>
                <w:rFonts w:hint="default" w:asciiTheme="majorHAnsi" w:hAnsiTheme="majorHAnsi" w:cstheme="majorHAnsi"/>
                <w:b/>
                <w:bCs/>
                <w:sz w:val="22"/>
                <w:szCs w:val="22"/>
              </w:rPr>
            </w:pPr>
            <w:r>
              <w:rPr>
                <w:rFonts w:hint="default" w:asciiTheme="majorHAnsi" w:hAnsiTheme="majorHAnsi" w:cstheme="majorHAnsi"/>
                <w:b/>
                <w:bCs/>
                <w:sz w:val="22"/>
                <w:szCs w:val="22"/>
                <w:lang w:val="en-US"/>
              </w:rPr>
              <w:t>Українсько-</w:t>
            </w:r>
            <w:r>
              <w:rPr>
                <w:rFonts w:hint="default" w:asciiTheme="majorHAnsi" w:hAnsiTheme="majorHAnsi" w:cstheme="majorHAnsi"/>
                <w:b/>
                <w:bCs/>
                <w:sz w:val="22"/>
                <w:szCs w:val="22"/>
              </w:rPr>
              <w:t>ш</w:t>
            </w:r>
            <w:r>
              <w:rPr>
                <w:rFonts w:hint="default" w:asciiTheme="majorHAnsi" w:hAnsiTheme="majorHAnsi" w:cstheme="majorHAnsi"/>
                <w:b/>
                <w:bCs/>
                <w:sz w:val="22"/>
                <w:szCs w:val="22"/>
                <w:lang w:val="en-US"/>
              </w:rPr>
              <w:t>вейцарськ</w:t>
            </w:r>
            <w:r>
              <w:rPr>
                <w:rFonts w:hint="default" w:asciiTheme="majorHAnsi" w:hAnsiTheme="majorHAnsi" w:cstheme="majorHAnsi"/>
                <w:b/>
                <w:bCs/>
                <w:sz w:val="22"/>
                <w:szCs w:val="22"/>
              </w:rPr>
              <w:t>ої</w:t>
            </w:r>
            <w:r>
              <w:rPr>
                <w:rFonts w:hint="default" w:asciiTheme="majorHAnsi" w:hAnsiTheme="majorHAnsi" w:cstheme="majorHAnsi"/>
                <w:b/>
                <w:bCs/>
                <w:sz w:val="22"/>
                <w:szCs w:val="22"/>
                <w:lang w:val="en-US"/>
              </w:rPr>
              <w:t xml:space="preserve"> </w:t>
            </w:r>
            <w:r>
              <w:rPr>
                <w:rFonts w:hint="default" w:asciiTheme="majorHAnsi" w:hAnsiTheme="majorHAnsi" w:cstheme="majorHAnsi"/>
                <w:b/>
                <w:bCs/>
                <w:sz w:val="22"/>
                <w:szCs w:val="22"/>
              </w:rPr>
              <w:t>б</w:t>
            </w:r>
            <w:r>
              <w:rPr>
                <w:rFonts w:hint="default" w:asciiTheme="majorHAnsi" w:hAnsiTheme="majorHAnsi" w:cstheme="majorHAnsi"/>
                <w:b/>
                <w:bCs/>
                <w:sz w:val="22"/>
                <w:szCs w:val="22"/>
                <w:lang w:val="en-US"/>
              </w:rPr>
              <w:t>ізнес</w:t>
            </w:r>
            <w:r>
              <w:rPr>
                <w:rFonts w:hint="default" w:asciiTheme="majorHAnsi" w:hAnsiTheme="majorHAnsi" w:cstheme="majorHAnsi"/>
                <w:b/>
                <w:bCs/>
                <w:sz w:val="22"/>
                <w:szCs w:val="22"/>
              </w:rPr>
              <w:t>-а</w:t>
            </w:r>
            <w:r>
              <w:rPr>
                <w:rFonts w:hint="default" w:asciiTheme="majorHAnsi" w:hAnsiTheme="majorHAnsi" w:cstheme="majorHAnsi"/>
                <w:b/>
                <w:bCs/>
                <w:sz w:val="22"/>
                <w:szCs w:val="22"/>
                <w:lang w:val="en-US"/>
              </w:rPr>
              <w:t>соціаці</w:t>
            </w:r>
            <w:r>
              <w:rPr>
                <w:rFonts w:hint="default" w:asciiTheme="majorHAnsi" w:hAnsiTheme="majorHAnsi" w:cstheme="majorHAnsi"/>
                <w:b/>
                <w:bCs/>
                <w:sz w:val="22"/>
                <w:szCs w:val="22"/>
              </w:rPr>
              <w:t>ї</w:t>
            </w:r>
          </w:p>
          <w:p>
            <w:pPr>
              <w:spacing w:after="0" w:line="240" w:lineRule="auto"/>
              <w:jc w:val="both"/>
              <w:rPr>
                <w:rFonts w:hint="default" w:asciiTheme="majorHAnsi" w:hAnsiTheme="majorHAnsi" w:cstheme="majorHAnsi"/>
                <w:b/>
                <w:bCs/>
                <w:sz w:val="22"/>
                <w:szCs w:val="22"/>
                <w:lang w:val="en-US" w:eastAsia="uk-UA"/>
              </w:rPr>
            </w:pPr>
          </w:p>
        </w:tc>
        <w:tc>
          <w:tcPr>
            <w:tcW w:w="2504" w:type="dxa"/>
          </w:tcPr>
          <w:p>
            <w:pPr>
              <w:spacing w:after="0" w:line="240" w:lineRule="auto"/>
              <w:jc w:val="both"/>
              <w:rPr>
                <w:rFonts w:asciiTheme="majorHAnsi" w:hAnsiTheme="majorHAnsi" w:cstheme="majorHAnsi"/>
                <w:bCs/>
                <w:shd w:val="clear" w:color="auto" w:fill="FFFFFF"/>
                <w:lang w:val="en-US" w:eastAsia="uk-UA"/>
              </w:rPr>
            </w:pPr>
          </w:p>
        </w:tc>
      </w:tr>
      <w:tr>
        <w:tc>
          <w:tcPr>
            <w:tcW w:w="6563" w:type="dxa"/>
          </w:tcPr>
          <w:p>
            <w:pPr>
              <w:spacing w:after="0" w:line="240" w:lineRule="auto"/>
              <w:jc w:val="both"/>
              <w:rPr>
                <w:rFonts w:asciiTheme="majorHAnsi" w:hAnsiTheme="majorHAnsi" w:cstheme="majorHAnsi"/>
                <w:bCs/>
                <w:shd w:val="clear" w:color="auto" w:fill="FFFFFF"/>
                <w:lang w:eastAsia="uk-UA"/>
              </w:rPr>
            </w:pPr>
            <w:r>
              <w:rPr>
                <w:rFonts w:asciiTheme="majorHAnsi" w:hAnsiTheme="majorHAnsi" w:cstheme="majorHAnsi"/>
                <w:bCs/>
                <w:shd w:val="clear" w:color="auto" w:fill="FFFFFF"/>
                <w:lang w:eastAsia="uk-UA"/>
              </w:rPr>
              <w:t>Бурак Пехліван</w:t>
            </w:r>
          </w:p>
          <w:p>
            <w:pPr>
              <w:spacing w:after="0" w:line="240" w:lineRule="auto"/>
              <w:jc w:val="both"/>
              <w:rPr>
                <w:rFonts w:asciiTheme="majorHAnsi" w:hAnsiTheme="majorHAnsi" w:cstheme="majorHAnsi"/>
                <w:bCs/>
                <w:shd w:val="clear" w:color="auto" w:fill="FFFFFF"/>
                <w:lang w:eastAsia="uk-UA"/>
              </w:rPr>
            </w:pPr>
            <w:r>
              <w:rPr>
                <w:rFonts w:asciiTheme="majorHAnsi" w:hAnsiTheme="majorHAnsi" w:cstheme="majorHAnsi"/>
                <w:bCs/>
                <w:shd w:val="clear" w:color="auto" w:fill="FFFFFF"/>
                <w:lang w:eastAsia="uk-UA"/>
              </w:rPr>
              <w:t>Голова Правління</w:t>
            </w:r>
          </w:p>
          <w:p>
            <w:pPr>
              <w:spacing w:after="0" w:line="240" w:lineRule="auto"/>
              <w:jc w:val="both"/>
              <w:rPr>
                <w:rFonts w:asciiTheme="majorHAnsi" w:hAnsiTheme="majorHAnsi" w:cstheme="majorHAnsi"/>
                <w:bCs/>
                <w:shd w:val="clear" w:color="auto" w:fill="FFFFFF"/>
                <w:lang w:eastAsia="uk-UA"/>
              </w:rPr>
            </w:pPr>
            <w:r>
              <w:rPr>
                <w:rFonts w:asciiTheme="majorHAnsi" w:hAnsiTheme="majorHAnsi" w:cstheme="majorHAnsi"/>
                <w:b/>
                <w:bCs/>
                <w:shd w:val="clear" w:color="auto" w:fill="FFFFFF"/>
                <w:lang w:eastAsia="uk-UA"/>
              </w:rPr>
              <w:t>Турецько-української бізнес-асоціації в Україні</w:t>
            </w:r>
          </w:p>
          <w:p>
            <w:pPr>
              <w:shd w:val="clear" w:color="auto" w:fill="FFFFFF"/>
              <w:spacing w:after="0" w:line="240" w:lineRule="auto"/>
              <w:jc w:val="both"/>
              <w:rPr>
                <w:rFonts w:asciiTheme="majorHAnsi" w:hAnsiTheme="majorHAnsi" w:cstheme="majorHAnsi"/>
                <w:lang w:val="en-US"/>
              </w:rPr>
            </w:pPr>
          </w:p>
        </w:tc>
        <w:tc>
          <w:tcPr>
            <w:tcW w:w="2504" w:type="dxa"/>
          </w:tcPr>
          <w:p>
            <w:pPr>
              <w:spacing w:after="0" w:line="240" w:lineRule="auto"/>
              <w:jc w:val="both"/>
              <w:rPr>
                <w:rFonts w:asciiTheme="majorHAnsi" w:hAnsiTheme="majorHAnsi" w:cstheme="majorHAnsi"/>
                <w:bCs/>
                <w:shd w:val="clear" w:color="auto" w:fill="FFFFFF"/>
                <w:lang w:eastAsia="uk-UA"/>
              </w:rPr>
            </w:pPr>
          </w:p>
        </w:tc>
      </w:tr>
      <w:tr>
        <w:tc>
          <w:tcPr>
            <w:tcW w:w="6563" w:type="dxa"/>
          </w:tcPr>
          <w:p>
            <w:pPr>
              <w:spacing w:after="0" w:line="240" w:lineRule="auto"/>
              <w:jc w:val="both"/>
              <w:rPr>
                <w:rFonts w:asciiTheme="majorHAnsi" w:hAnsiTheme="majorHAnsi" w:cstheme="majorHAnsi"/>
                <w:shd w:val="clear" w:color="auto" w:fill="FFFFFF"/>
              </w:rPr>
            </w:pPr>
            <w:r>
              <w:rPr>
                <w:rFonts w:asciiTheme="majorHAnsi" w:hAnsiTheme="majorHAnsi" w:cstheme="majorHAnsi"/>
                <w:shd w:val="clear" w:color="auto" w:fill="FFFFFF"/>
              </w:rPr>
              <w:t>Морган Вільямс</w:t>
            </w:r>
          </w:p>
          <w:p>
            <w:pPr>
              <w:spacing w:after="0" w:line="240" w:lineRule="auto"/>
              <w:jc w:val="both"/>
              <w:rPr>
                <w:rFonts w:asciiTheme="majorHAnsi" w:hAnsiTheme="majorHAnsi" w:cstheme="majorHAnsi"/>
              </w:rPr>
            </w:pPr>
            <w:r>
              <w:rPr>
                <w:rFonts w:asciiTheme="majorHAnsi" w:hAnsiTheme="majorHAnsi" w:cstheme="majorHAnsi"/>
              </w:rPr>
              <w:t>Президент, Генеральний директор</w:t>
            </w:r>
            <w:r>
              <w:rPr>
                <w:rFonts w:asciiTheme="majorHAnsi" w:hAnsiTheme="majorHAnsi" w:cstheme="majorHAnsi"/>
              </w:rPr>
              <w:t xml:space="preserve"> </w:t>
            </w:r>
          </w:p>
          <w:p>
            <w:pPr>
              <w:spacing w:after="0" w:line="240" w:lineRule="auto"/>
              <w:jc w:val="both"/>
              <w:rPr>
                <w:rFonts w:asciiTheme="majorHAnsi" w:hAnsiTheme="majorHAnsi" w:cstheme="majorHAnsi"/>
                <w:b/>
                <w:bCs/>
                <w:shd w:val="clear" w:color="auto" w:fill="FFFFFF"/>
                <w:lang w:val="en-US" w:eastAsia="uk-UA"/>
              </w:rPr>
            </w:pPr>
            <w:r>
              <w:rPr>
                <w:rFonts w:hint="default" w:asciiTheme="majorHAnsi" w:hAnsiTheme="majorHAnsi" w:cstheme="majorHAnsi"/>
                <w:b/>
              </w:rPr>
              <w:t>Американсько-</w:t>
            </w:r>
            <w:r>
              <w:rPr>
                <w:rFonts w:hint="default" w:asciiTheme="majorHAnsi" w:hAnsiTheme="majorHAnsi" w:cstheme="majorHAnsi"/>
                <w:b/>
              </w:rPr>
              <w:t>у</w:t>
            </w:r>
            <w:r>
              <w:rPr>
                <w:rFonts w:hint="default" w:asciiTheme="majorHAnsi" w:hAnsiTheme="majorHAnsi" w:cstheme="majorHAnsi"/>
                <w:b/>
              </w:rPr>
              <w:t xml:space="preserve">країнської </w:t>
            </w:r>
            <w:r>
              <w:rPr>
                <w:rFonts w:hint="default" w:asciiTheme="majorHAnsi" w:hAnsiTheme="majorHAnsi" w:cstheme="majorHAnsi"/>
                <w:b/>
              </w:rPr>
              <w:t>д</w:t>
            </w:r>
            <w:r>
              <w:rPr>
                <w:rFonts w:hint="default" w:asciiTheme="majorHAnsi" w:hAnsiTheme="majorHAnsi" w:cstheme="majorHAnsi"/>
                <w:b/>
              </w:rPr>
              <w:t xml:space="preserve">ілової </w:t>
            </w:r>
            <w:r>
              <w:rPr>
                <w:rFonts w:hint="default" w:asciiTheme="majorHAnsi" w:hAnsiTheme="majorHAnsi" w:cstheme="majorHAnsi"/>
                <w:b/>
              </w:rPr>
              <w:t>р</w:t>
            </w:r>
            <w:r>
              <w:rPr>
                <w:rFonts w:hint="default" w:asciiTheme="majorHAnsi" w:hAnsiTheme="majorHAnsi" w:cstheme="majorHAnsi"/>
                <w:b/>
              </w:rPr>
              <w:t>ади</w:t>
            </w:r>
          </w:p>
        </w:tc>
        <w:tc>
          <w:tcPr>
            <w:tcW w:w="2504" w:type="dxa"/>
          </w:tcPr>
          <w:p>
            <w:pPr>
              <w:spacing w:after="0" w:line="240" w:lineRule="auto"/>
              <w:jc w:val="both"/>
              <w:rPr>
                <w:rFonts w:asciiTheme="majorHAnsi" w:hAnsiTheme="majorHAnsi" w:cstheme="majorHAnsi"/>
                <w:bCs/>
                <w:shd w:val="clear" w:color="auto" w:fill="FFFFFF"/>
                <w:lang w:eastAsia="uk-UA"/>
              </w:rPr>
            </w:pPr>
          </w:p>
        </w:tc>
      </w:tr>
      <w:tr>
        <w:tc>
          <w:tcPr>
            <w:tcW w:w="6563" w:type="dxa"/>
          </w:tcPr>
          <w:p>
            <w:pPr>
              <w:spacing w:after="0" w:line="240" w:lineRule="auto"/>
              <w:jc w:val="both"/>
              <w:rPr>
                <w:rFonts w:asciiTheme="majorHAnsi" w:hAnsiTheme="majorHAnsi" w:cstheme="majorHAnsi"/>
                <w:bCs/>
                <w:shd w:val="clear" w:color="auto" w:fill="FFFFFF"/>
                <w:lang w:eastAsia="uk-UA"/>
              </w:rPr>
            </w:pPr>
          </w:p>
        </w:tc>
        <w:tc>
          <w:tcPr>
            <w:tcW w:w="2504" w:type="dxa"/>
          </w:tcPr>
          <w:p>
            <w:pPr>
              <w:spacing w:after="0" w:line="240" w:lineRule="auto"/>
              <w:jc w:val="both"/>
              <w:rPr>
                <w:rFonts w:asciiTheme="majorHAnsi" w:hAnsiTheme="majorHAnsi" w:cstheme="majorHAnsi"/>
                <w:bCs/>
                <w:shd w:val="clear" w:color="auto" w:fill="FFFFFF"/>
                <w:lang w:eastAsia="uk-UA"/>
              </w:rPr>
            </w:pPr>
          </w:p>
        </w:tc>
      </w:tr>
    </w:tbl>
    <w:p>
      <w:pPr>
        <w:spacing w:after="0" w:line="288" w:lineRule="auto"/>
        <w:jc w:val="both"/>
        <w:rPr>
          <w:rFonts w:eastAsia="Times New Roman" w:asciiTheme="majorHAnsi" w:hAnsiTheme="majorHAnsi" w:cstheme="majorHAnsi"/>
        </w:rPr>
      </w:pPr>
    </w:p>
    <w:sectPr>
      <w:headerReference r:id="rId4" w:type="default"/>
      <w:footerReference r:id="rId5" w:type="default"/>
      <w:pgSz w:w="11906" w:h="16838"/>
      <w:pgMar w:top="1134" w:right="1133" w:bottom="851" w:left="1418" w:header="708" w:footer="708"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SimSun">
    <w:altName w:val="宋体-简"/>
    <w:panose1 w:val="00000000000000000000"/>
    <w:charset w:val="86"/>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ourier New">
    <w:panose1 w:val="02070609020205090404"/>
    <w:charset w:val="CC"/>
    <w:family w:val="modern"/>
    <w:pitch w:val="default"/>
    <w:sig w:usb0="E0000AFF" w:usb1="40007843" w:usb2="00000001" w:usb3="00000000" w:csb0="400001BF" w:csb1="DFF70000"/>
  </w:font>
  <w:font w:name="Wingdings">
    <w:panose1 w:val="05000000000000000000"/>
    <w:charset w:val="02"/>
    <w:family w:val="auto"/>
    <w:pitch w:val="default"/>
    <w:sig w:usb0="00000000" w:usb1="00000000" w:usb2="00000000" w:usb3="00000000" w:csb0="80000000" w:csb1="00000000"/>
  </w:font>
  <w:font w:name="Calibri">
    <w:altName w:val="Helvetica Neue"/>
    <w:panose1 w:val="020F0502020204030204"/>
    <w:charset w:val="CC"/>
    <w:family w:val="swiss"/>
    <w:pitch w:val="default"/>
    <w:sig w:usb0="00000000" w:usb1="00000000" w:usb2="00000009" w:usb3="00000000" w:csb0="000001FF" w:csb1="00000000"/>
  </w:font>
  <w:font w:name="Georgia">
    <w:panose1 w:val="02040802050405020203"/>
    <w:charset w:val="CC"/>
    <w:family w:val="roman"/>
    <w:pitch w:val="default"/>
    <w:sig w:usb0="00000287" w:usb1="00000000" w:usb2="00000000" w:usb3="00000000" w:csb0="2000009F" w:csb1="00000000"/>
  </w:font>
  <w:font w:name="Segoe UI">
    <w:altName w:val="Helvetica Neue"/>
    <w:panose1 w:val="020B0502040204020203"/>
    <w:charset w:val="CC"/>
    <w:family w:val="swiss"/>
    <w:pitch w:val="default"/>
    <w:sig w:usb0="00000000" w:usb1="00000000" w:usb2="00000009" w:usb3="00000000" w:csb0="000001FF" w:csb1="00000000"/>
  </w:font>
  <w:font w:name="Cambria">
    <w:altName w:val="Helvetica Neue"/>
    <w:panose1 w:val="02040503050406030204"/>
    <w:charset w:val="CC"/>
    <w:family w:val="roman"/>
    <w:pitch w:val="default"/>
    <w:sig w:usb0="00000000" w:usb1="00000000" w:usb2="02000000" w:usb3="00000000" w:csb0="0000019F" w:csb1="00000000"/>
  </w:font>
  <w:font w:name="Helvetica Neue">
    <w:panose1 w:val="02000503000000020004"/>
    <w:charset w:val="00"/>
    <w:family w:val="auto"/>
    <w:pitch w:val="default"/>
    <w:sig w:usb0="E50002FF" w:usb1="500079DB" w:usb2="00000010" w:usb3="00000000" w:csb0="00000000" w:csb1="00000000"/>
  </w:font>
  <w:font w:name="Kingsoft Sign">
    <w:panose1 w:val="05050102010706020507"/>
    <w:charset w:val="00"/>
    <w:family w:val="auto"/>
    <w:pitch w:val="default"/>
    <w:sig w:usb0="00000000" w:usb1="10000000" w:usb2="00000000" w:usb3="00000000" w:csb0="00000001" w:csb1="00000000"/>
  </w:font>
  <w:font w:name="宋体-简">
    <w:panose1 w:val="02010800040101010101"/>
    <w:charset w:val="86"/>
    <w:family w:val="auto"/>
    <w:pitch w:val="default"/>
    <w:sig w:usb0="00000001" w:usb1="080F0000" w:usb2="00000000" w:usb3="00000000" w:csb0="00040000" w:csb1="00000000"/>
  </w:font>
  <w:font w:name="苹方-简">
    <w:panose1 w:val="020B0400000000000000"/>
    <w:charset w:val="86"/>
    <w:family w:val="auto"/>
    <w:pitch w:val="default"/>
    <w:sig w:usb0="A00002FF" w:usb1="7ACFFDFB" w:usb2="00000017" w:usb3="00000000" w:csb0="00040001" w:csb1="00000000"/>
  </w:font>
  <w:font w:name="黑体-简">
    <w:panose1 w:val="02000000000000000000"/>
    <w:charset w:val="86"/>
    <w:family w:val="auto"/>
    <w:pitch w:val="default"/>
    <w:sig w:usb0="8000002F" w:usb1="0800004A" w:usb2="00000000" w:usb3="00000000" w:csb0="203E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77"/>
        <w:tab w:val="right" w:pos="9355"/>
      </w:tabs>
      <w:spacing w:after="0" w:line="240" w:lineRule="auto"/>
      <w:jc w:val="right"/>
      <w:rPr>
        <w:color w:val="000000"/>
      </w:rPr>
    </w:pPr>
    <w:r>
      <w:rPr>
        <w:color w:val="000000"/>
      </w:rPr>
      <w:fldChar w:fldCharType="begin"/>
    </w:r>
    <w:r>
      <w:rPr>
        <w:color w:val="000000"/>
      </w:rPr>
      <w:instrText xml:space="preserve">PAGE</w:instrText>
    </w:r>
    <w:r>
      <w:rPr>
        <w:color w:val="000000"/>
      </w:rPr>
      <w:fldChar w:fldCharType="separate"/>
    </w:r>
    <w:r>
      <w:rPr>
        <w:color w:val="000000"/>
      </w:rPr>
      <w:t>4</w:t>
    </w:r>
    <w:r>
      <w:rPr>
        <w:color w:val="000000"/>
      </w:rPr>
      <w:fldChar w:fldCharType="end"/>
    </w:r>
  </w:p>
  <w:p>
    <w:pP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pacing w:after="0" w:line="288" w:lineRule="auto"/>
        <w:jc w:val="both"/>
        <w:rPr>
          <w:rFonts w:asciiTheme="majorHAnsi" w:hAnsiTheme="majorHAnsi" w:cstheme="majorHAnsi"/>
        </w:rPr>
      </w:pPr>
      <w:r>
        <w:rPr>
          <w:rStyle w:val="18"/>
        </w:rPr>
        <w:footnoteRef/>
      </w:r>
      <w:r>
        <w:t xml:space="preserve"> </w:t>
      </w:r>
      <w:r>
        <w:fldChar w:fldCharType="begin"/>
      </w:r>
      <w:r>
        <w:instrText xml:space="preserve"> HYPERLINK "https://www.nerc.gov.ua/data/filearch/Materialy_zasidan/2021/gruden/01.12.2021/p14_01-12-21.pdf" </w:instrText>
      </w:r>
      <w:r>
        <w:fldChar w:fldCharType="separate"/>
      </w:r>
      <w:r>
        <w:rPr>
          <w:rStyle w:val="19"/>
          <w:rFonts w:asciiTheme="majorHAnsi" w:hAnsiTheme="majorHAnsi" w:cstheme="majorHAnsi"/>
          <w:sz w:val="20"/>
          <w:szCs w:val="20"/>
        </w:rPr>
        <w:t>https://www.nerc.gov.ua/data/filearch/Materialy_zasidan/2021/gruden/01.12.2021/p14_01-12-21.pdf</w:t>
      </w:r>
      <w:r>
        <w:rPr>
          <w:rStyle w:val="19"/>
          <w:rFonts w:asciiTheme="majorHAnsi" w:hAnsiTheme="majorHAnsi" w:cstheme="majorHAnsi"/>
          <w:sz w:val="20"/>
          <w:szCs w:val="20"/>
        </w:rPr>
        <w:fldChar w:fldCharType="end"/>
      </w:r>
      <w:r>
        <w:rPr>
          <w:rFonts w:asciiTheme="majorHAnsi" w:hAnsiTheme="majorHAnsi" w:cstheme="majorHAnsi"/>
          <w:sz w:val="20"/>
          <w:szCs w:val="20"/>
        </w:rPr>
        <w:t>.</w:t>
      </w:r>
      <w:r>
        <w:rPr>
          <w:rFonts w:asciiTheme="majorHAnsi" w:hAnsiTheme="majorHAnsi" w:cstheme="majorHAnsi"/>
        </w:rPr>
        <w:t xml:space="preserve"> </w:t>
      </w:r>
    </w:p>
    <w:p>
      <w:pPr>
        <w:pStyle w:val="1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t>Переклад з англійської мови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22C66"/>
    <w:multiLevelType w:val="multilevel"/>
    <w:tmpl w:val="18622C6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F3"/>
    <w:rsid w:val="00001A34"/>
    <w:rsid w:val="0001467E"/>
    <w:rsid w:val="00027735"/>
    <w:rsid w:val="00046192"/>
    <w:rsid w:val="00050CD6"/>
    <w:rsid w:val="000533CB"/>
    <w:rsid w:val="00080329"/>
    <w:rsid w:val="00084150"/>
    <w:rsid w:val="0008707C"/>
    <w:rsid w:val="00094F1C"/>
    <w:rsid w:val="000C6011"/>
    <w:rsid w:val="000D0CEB"/>
    <w:rsid w:val="000E4A90"/>
    <w:rsid w:val="000E4DEA"/>
    <w:rsid w:val="000E6F45"/>
    <w:rsid w:val="000F73E2"/>
    <w:rsid w:val="00103C83"/>
    <w:rsid w:val="0012232B"/>
    <w:rsid w:val="00140318"/>
    <w:rsid w:val="0016173C"/>
    <w:rsid w:val="001649D8"/>
    <w:rsid w:val="00173B62"/>
    <w:rsid w:val="0018460C"/>
    <w:rsid w:val="001A0740"/>
    <w:rsid w:val="001A2136"/>
    <w:rsid w:val="001B62E2"/>
    <w:rsid w:val="001C0AFF"/>
    <w:rsid w:val="001C68C3"/>
    <w:rsid w:val="001C6E48"/>
    <w:rsid w:val="001F2968"/>
    <w:rsid w:val="001F37F1"/>
    <w:rsid w:val="00206A4D"/>
    <w:rsid w:val="0022716D"/>
    <w:rsid w:val="00233A9E"/>
    <w:rsid w:val="00236FF9"/>
    <w:rsid w:val="00246BB5"/>
    <w:rsid w:val="00291D3A"/>
    <w:rsid w:val="002A2BB7"/>
    <w:rsid w:val="002B15A9"/>
    <w:rsid w:val="002B1F74"/>
    <w:rsid w:val="002C2E6E"/>
    <w:rsid w:val="002C401E"/>
    <w:rsid w:val="002E1AF3"/>
    <w:rsid w:val="002F3F76"/>
    <w:rsid w:val="0032508E"/>
    <w:rsid w:val="00336D2A"/>
    <w:rsid w:val="00340396"/>
    <w:rsid w:val="00342906"/>
    <w:rsid w:val="00346D9F"/>
    <w:rsid w:val="003509DB"/>
    <w:rsid w:val="00351770"/>
    <w:rsid w:val="003661C8"/>
    <w:rsid w:val="003679E6"/>
    <w:rsid w:val="00377166"/>
    <w:rsid w:val="003C381C"/>
    <w:rsid w:val="003D494B"/>
    <w:rsid w:val="003E735C"/>
    <w:rsid w:val="00411678"/>
    <w:rsid w:val="004164CF"/>
    <w:rsid w:val="00421F94"/>
    <w:rsid w:val="00424B61"/>
    <w:rsid w:val="00455524"/>
    <w:rsid w:val="00455579"/>
    <w:rsid w:val="004810CC"/>
    <w:rsid w:val="004A08FC"/>
    <w:rsid w:val="00505816"/>
    <w:rsid w:val="00515892"/>
    <w:rsid w:val="00541ED9"/>
    <w:rsid w:val="00554C10"/>
    <w:rsid w:val="005633BA"/>
    <w:rsid w:val="00576888"/>
    <w:rsid w:val="00583043"/>
    <w:rsid w:val="005C0D70"/>
    <w:rsid w:val="005E4708"/>
    <w:rsid w:val="005E7F19"/>
    <w:rsid w:val="005F7E2C"/>
    <w:rsid w:val="006266B8"/>
    <w:rsid w:val="00644ABE"/>
    <w:rsid w:val="00646725"/>
    <w:rsid w:val="00654588"/>
    <w:rsid w:val="00654DC8"/>
    <w:rsid w:val="006617FD"/>
    <w:rsid w:val="00662A4C"/>
    <w:rsid w:val="00667736"/>
    <w:rsid w:val="00673F1C"/>
    <w:rsid w:val="006A10BD"/>
    <w:rsid w:val="006A7917"/>
    <w:rsid w:val="006B62AA"/>
    <w:rsid w:val="006D18FF"/>
    <w:rsid w:val="006D1E3D"/>
    <w:rsid w:val="006D3B4B"/>
    <w:rsid w:val="006E6929"/>
    <w:rsid w:val="006E7424"/>
    <w:rsid w:val="0070309D"/>
    <w:rsid w:val="00707B8D"/>
    <w:rsid w:val="00712341"/>
    <w:rsid w:val="0071706F"/>
    <w:rsid w:val="00745142"/>
    <w:rsid w:val="00771C2C"/>
    <w:rsid w:val="00776B34"/>
    <w:rsid w:val="0079314E"/>
    <w:rsid w:val="007965E0"/>
    <w:rsid w:val="0079715A"/>
    <w:rsid w:val="00797F15"/>
    <w:rsid w:val="007B195C"/>
    <w:rsid w:val="008127DB"/>
    <w:rsid w:val="0082696F"/>
    <w:rsid w:val="00827E77"/>
    <w:rsid w:val="008402EF"/>
    <w:rsid w:val="00844F1D"/>
    <w:rsid w:val="00854ADD"/>
    <w:rsid w:val="008744B7"/>
    <w:rsid w:val="008851D0"/>
    <w:rsid w:val="008B69B8"/>
    <w:rsid w:val="008E08A7"/>
    <w:rsid w:val="008E1D09"/>
    <w:rsid w:val="009169EA"/>
    <w:rsid w:val="009322FC"/>
    <w:rsid w:val="00943A5E"/>
    <w:rsid w:val="00946608"/>
    <w:rsid w:val="0096794B"/>
    <w:rsid w:val="009A04BE"/>
    <w:rsid w:val="009A48A9"/>
    <w:rsid w:val="009A7A0F"/>
    <w:rsid w:val="009B6810"/>
    <w:rsid w:val="009C41CA"/>
    <w:rsid w:val="009D5954"/>
    <w:rsid w:val="00A3666B"/>
    <w:rsid w:val="00A67D9F"/>
    <w:rsid w:val="00A72663"/>
    <w:rsid w:val="00A80092"/>
    <w:rsid w:val="00AA50F5"/>
    <w:rsid w:val="00AB33D1"/>
    <w:rsid w:val="00AD01A9"/>
    <w:rsid w:val="00AE05CF"/>
    <w:rsid w:val="00AF62A3"/>
    <w:rsid w:val="00B133C8"/>
    <w:rsid w:val="00B16CF6"/>
    <w:rsid w:val="00B45035"/>
    <w:rsid w:val="00B5476D"/>
    <w:rsid w:val="00B6295E"/>
    <w:rsid w:val="00B675FF"/>
    <w:rsid w:val="00B75BAF"/>
    <w:rsid w:val="00B9377F"/>
    <w:rsid w:val="00BA18B3"/>
    <w:rsid w:val="00BA3893"/>
    <w:rsid w:val="00BA7A8A"/>
    <w:rsid w:val="00BB3AF6"/>
    <w:rsid w:val="00BD3DE6"/>
    <w:rsid w:val="00BF7200"/>
    <w:rsid w:val="00C003C6"/>
    <w:rsid w:val="00C0618B"/>
    <w:rsid w:val="00C07A5A"/>
    <w:rsid w:val="00C25DA6"/>
    <w:rsid w:val="00C350B4"/>
    <w:rsid w:val="00C67240"/>
    <w:rsid w:val="00C87169"/>
    <w:rsid w:val="00C954C4"/>
    <w:rsid w:val="00CA1008"/>
    <w:rsid w:val="00CA1CDC"/>
    <w:rsid w:val="00CA7FE4"/>
    <w:rsid w:val="00CB4CFB"/>
    <w:rsid w:val="00CD0FD2"/>
    <w:rsid w:val="00CD2237"/>
    <w:rsid w:val="00CE378A"/>
    <w:rsid w:val="00D32B83"/>
    <w:rsid w:val="00D407EE"/>
    <w:rsid w:val="00D547F0"/>
    <w:rsid w:val="00D60940"/>
    <w:rsid w:val="00D60B98"/>
    <w:rsid w:val="00D701FD"/>
    <w:rsid w:val="00D841B2"/>
    <w:rsid w:val="00D92B9B"/>
    <w:rsid w:val="00DB658E"/>
    <w:rsid w:val="00DC2FB1"/>
    <w:rsid w:val="00DD3DC0"/>
    <w:rsid w:val="00DD7A0C"/>
    <w:rsid w:val="00DD7F0E"/>
    <w:rsid w:val="00DF1B5C"/>
    <w:rsid w:val="00E10662"/>
    <w:rsid w:val="00E2597D"/>
    <w:rsid w:val="00E40213"/>
    <w:rsid w:val="00E40AAF"/>
    <w:rsid w:val="00E41E90"/>
    <w:rsid w:val="00E43C99"/>
    <w:rsid w:val="00E50223"/>
    <w:rsid w:val="00E668E8"/>
    <w:rsid w:val="00E67D7A"/>
    <w:rsid w:val="00E70FFC"/>
    <w:rsid w:val="00E72604"/>
    <w:rsid w:val="00E80462"/>
    <w:rsid w:val="00E8655F"/>
    <w:rsid w:val="00E93A97"/>
    <w:rsid w:val="00ED1D35"/>
    <w:rsid w:val="00EE7546"/>
    <w:rsid w:val="00F01EC8"/>
    <w:rsid w:val="00F22C94"/>
    <w:rsid w:val="00F32772"/>
    <w:rsid w:val="00F556B2"/>
    <w:rsid w:val="00F850A2"/>
    <w:rsid w:val="00F87D8E"/>
    <w:rsid w:val="00F94EED"/>
    <w:rsid w:val="00FD51BC"/>
    <w:rsid w:val="00FE1C71"/>
    <w:rsid w:val="00FF6578"/>
    <w:rsid w:val="6DBD5F80"/>
    <w:rsid w:val="6EBB7754"/>
    <w:rsid w:val="6EFF0F40"/>
    <w:rsid w:val="77FFB1AF"/>
    <w:rsid w:val="7BFE05F8"/>
    <w:rsid w:val="7F9FF659"/>
    <w:rsid w:val="7FFC5CDA"/>
    <w:rsid w:val="9F7FE3D8"/>
    <w:rsid w:val="9FFFB393"/>
    <w:rsid w:val="BB7F00C1"/>
    <w:rsid w:val="DC7BEF0F"/>
    <w:rsid w:val="F63D95BC"/>
    <w:rsid w:val="FE95163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nhideWhenUsed="0" w:uiPriority="99" w:semiHidden="0" w:name="Table Professional"/>
    <w:lsdException w:uiPriority="99" w:name="Table Subtle 1"/>
    <w:lsdException w:uiPriority="99" w:name="Table Subtle 2"/>
    <w:lsdException w:unhideWhenUsed="0" w:uiPriority="99" w:semiHidden="0" w:name="Table Web 1"/>
    <w:lsdException w:unhideWhenUsed="0" w:uiPriority="99" w:semiHidden="0"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uk-UA" w:eastAsia="ru-RU"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unhideWhenUsed/>
    <w:qFormat/>
    <w:uiPriority w:val="9"/>
    <w:pPr>
      <w:keepNext/>
      <w:keepLines/>
      <w:spacing w:before="360" w:after="80"/>
      <w:outlineLvl w:val="1"/>
    </w:pPr>
    <w:rPr>
      <w:b/>
      <w:sz w:val="36"/>
      <w:szCs w:val="36"/>
    </w:rPr>
  </w:style>
  <w:style w:type="paragraph" w:styleId="4">
    <w:name w:val="heading 3"/>
    <w:basedOn w:val="1"/>
    <w:next w:val="1"/>
    <w:unhideWhenUsed/>
    <w:qFormat/>
    <w:uiPriority w:val="9"/>
    <w:pPr>
      <w:keepNext/>
      <w:keepLines/>
      <w:spacing w:before="280" w:after="80"/>
      <w:outlineLvl w:val="2"/>
    </w:pPr>
    <w:rPr>
      <w:b/>
      <w:sz w:val="28"/>
      <w:szCs w:val="28"/>
    </w:rPr>
  </w:style>
  <w:style w:type="paragraph" w:styleId="5">
    <w:name w:val="heading 4"/>
    <w:basedOn w:val="1"/>
    <w:next w:val="1"/>
    <w:unhideWhenUsed/>
    <w:qFormat/>
    <w:uiPriority w:val="9"/>
    <w:pPr>
      <w:keepNext/>
      <w:keepLines/>
      <w:spacing w:before="240" w:after="40"/>
      <w:outlineLvl w:val="3"/>
    </w:pPr>
    <w:rPr>
      <w:b/>
      <w:sz w:val="24"/>
      <w:szCs w:val="24"/>
    </w:rPr>
  </w:style>
  <w:style w:type="paragraph" w:styleId="6">
    <w:name w:val="heading 5"/>
    <w:basedOn w:val="1"/>
    <w:next w:val="1"/>
    <w:unhideWhenUsed/>
    <w:qFormat/>
    <w:uiPriority w:val="9"/>
    <w:pPr>
      <w:keepNext/>
      <w:keepLines/>
      <w:spacing w:before="220" w:after="40"/>
      <w:outlineLvl w:val="4"/>
    </w:pPr>
    <w:rPr>
      <w:b/>
    </w:rPr>
  </w:style>
  <w:style w:type="paragraph" w:styleId="7">
    <w:name w:val="heading 6"/>
    <w:basedOn w:val="1"/>
    <w:next w:val="1"/>
    <w:unhideWhenUsed/>
    <w:qFormat/>
    <w:uiPriority w:val="9"/>
    <w:pPr>
      <w:keepNext/>
      <w:keepLines/>
      <w:spacing w:before="200" w:after="40"/>
      <w:outlineLvl w:val="5"/>
    </w:pPr>
    <w:rPr>
      <w:b/>
      <w:sz w:val="20"/>
      <w:szCs w:val="20"/>
    </w:rPr>
  </w:style>
  <w:style w:type="character" w:default="1" w:styleId="16">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8">
    <w:name w:val="Balloon Text"/>
    <w:basedOn w:val="1"/>
    <w:link w:val="34"/>
    <w:unhideWhenUsed/>
    <w:qFormat/>
    <w:uiPriority w:val="99"/>
    <w:pPr>
      <w:spacing w:after="0" w:line="240" w:lineRule="auto"/>
    </w:pPr>
    <w:rPr>
      <w:rFonts w:ascii="Segoe UI" w:hAnsi="Segoe UI" w:cs="Segoe UI"/>
      <w:sz w:val="18"/>
      <w:szCs w:val="18"/>
    </w:rPr>
  </w:style>
  <w:style w:type="paragraph" w:styleId="9">
    <w:name w:val="annotation text"/>
    <w:basedOn w:val="1"/>
    <w:link w:val="32"/>
    <w:unhideWhenUsed/>
    <w:qFormat/>
    <w:uiPriority w:val="99"/>
    <w:pPr>
      <w:spacing w:line="240" w:lineRule="auto"/>
    </w:pPr>
    <w:rPr>
      <w:sz w:val="20"/>
      <w:szCs w:val="20"/>
    </w:rPr>
  </w:style>
  <w:style w:type="paragraph" w:styleId="10">
    <w:name w:val="annotation subject"/>
    <w:basedOn w:val="9"/>
    <w:next w:val="9"/>
    <w:link w:val="33"/>
    <w:unhideWhenUsed/>
    <w:qFormat/>
    <w:uiPriority w:val="99"/>
    <w:rPr>
      <w:b/>
      <w:bCs/>
    </w:rPr>
  </w:style>
  <w:style w:type="paragraph" w:styleId="11">
    <w:name w:val="footer"/>
    <w:basedOn w:val="1"/>
    <w:link w:val="25"/>
    <w:unhideWhenUsed/>
    <w:qFormat/>
    <w:uiPriority w:val="99"/>
    <w:pPr>
      <w:tabs>
        <w:tab w:val="center" w:pos="4677"/>
        <w:tab w:val="right" w:pos="9355"/>
      </w:tabs>
      <w:spacing w:after="0" w:line="240" w:lineRule="auto"/>
    </w:pPr>
  </w:style>
  <w:style w:type="paragraph" w:styleId="12">
    <w:name w:val="footnote text"/>
    <w:basedOn w:val="1"/>
    <w:link w:val="35"/>
    <w:unhideWhenUsed/>
    <w:qFormat/>
    <w:uiPriority w:val="99"/>
    <w:pPr>
      <w:spacing w:after="0" w:line="240" w:lineRule="auto"/>
    </w:pPr>
    <w:rPr>
      <w:sz w:val="20"/>
      <w:szCs w:val="20"/>
    </w:rPr>
  </w:style>
  <w:style w:type="paragraph" w:styleId="13">
    <w:name w:val="header"/>
    <w:basedOn w:val="1"/>
    <w:link w:val="24"/>
    <w:unhideWhenUsed/>
    <w:qFormat/>
    <w:uiPriority w:val="99"/>
    <w:pPr>
      <w:tabs>
        <w:tab w:val="center" w:pos="4677"/>
        <w:tab w:val="right" w:pos="9355"/>
      </w:tabs>
      <w:spacing w:after="0" w:line="240" w:lineRule="auto"/>
    </w:pPr>
  </w:style>
  <w:style w:type="paragraph" w:styleId="14">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5">
    <w:name w:val="Title"/>
    <w:basedOn w:val="1"/>
    <w:next w:val="1"/>
    <w:qFormat/>
    <w:uiPriority w:val="10"/>
    <w:pPr>
      <w:keepNext/>
      <w:keepLines/>
      <w:spacing w:before="480" w:after="120"/>
    </w:pPr>
    <w:rPr>
      <w:b/>
      <w:sz w:val="72"/>
      <w:szCs w:val="72"/>
    </w:rPr>
  </w:style>
  <w:style w:type="character" w:styleId="17">
    <w:name w:val="annotation reference"/>
    <w:basedOn w:val="16"/>
    <w:unhideWhenUsed/>
    <w:qFormat/>
    <w:uiPriority w:val="99"/>
    <w:rPr>
      <w:sz w:val="16"/>
      <w:szCs w:val="16"/>
    </w:rPr>
  </w:style>
  <w:style w:type="character" w:styleId="18">
    <w:name w:val="footnote reference"/>
    <w:basedOn w:val="16"/>
    <w:unhideWhenUsed/>
    <w:qFormat/>
    <w:uiPriority w:val="99"/>
    <w:rPr>
      <w:vertAlign w:val="superscript"/>
    </w:rPr>
  </w:style>
  <w:style w:type="character" w:styleId="19">
    <w:name w:val="Hyperlink"/>
    <w:basedOn w:val="16"/>
    <w:unhideWhenUsed/>
    <w:qFormat/>
    <w:uiPriority w:val="99"/>
    <w:rPr>
      <w:color w:val="0000FF" w:themeColor="hyperlink"/>
      <w:u w:val="single"/>
      <w14:textFill>
        <w14:solidFill>
          <w14:schemeClr w14:val="hlink"/>
        </w14:solidFill>
      </w14:textFill>
    </w:rPr>
  </w:style>
  <w:style w:type="table" w:styleId="21">
    <w:name w:val="Table Grid"/>
    <w:basedOn w:val="20"/>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
    <w:name w:val="Table Normal1"/>
    <w:qFormat/>
    <w:uiPriority w:val="0"/>
    <w:tblPr>
      <w:tblCellMar>
        <w:top w:w="0" w:type="dxa"/>
        <w:left w:w="0" w:type="dxa"/>
        <w:bottom w:w="0" w:type="dxa"/>
        <w:right w:w="0" w:type="dxa"/>
      </w:tblCellMar>
    </w:tblPr>
  </w:style>
  <w:style w:type="table" w:customStyle="1" w:styleId="23">
    <w:name w:val="_Style 12"/>
    <w:basedOn w:val="22"/>
    <w:qFormat/>
    <w:uiPriority w:val="0"/>
    <w:tblPr>
      <w:tblCellMar>
        <w:left w:w="115" w:type="dxa"/>
        <w:right w:w="115" w:type="dxa"/>
      </w:tblCellMar>
    </w:tblPr>
  </w:style>
  <w:style w:type="character" w:customStyle="1" w:styleId="24">
    <w:name w:val="Верхний колонтитул Знак"/>
    <w:basedOn w:val="16"/>
    <w:link w:val="13"/>
    <w:qFormat/>
    <w:uiPriority w:val="99"/>
  </w:style>
  <w:style w:type="character" w:customStyle="1" w:styleId="25">
    <w:name w:val="Нижний колонтитул Знак"/>
    <w:basedOn w:val="16"/>
    <w:link w:val="11"/>
    <w:qFormat/>
    <w:uiPriority w:val="99"/>
  </w:style>
  <w:style w:type="character" w:customStyle="1" w:styleId="26">
    <w:name w:val="Неразрешенное упоминание1"/>
    <w:basedOn w:val="16"/>
    <w:unhideWhenUsed/>
    <w:qFormat/>
    <w:uiPriority w:val="99"/>
    <w:rPr>
      <w:color w:val="605E5C"/>
      <w:shd w:val="clear" w:color="auto" w:fill="E1DFDD"/>
    </w:rPr>
  </w:style>
  <w:style w:type="paragraph" w:customStyle="1" w:styleId="27">
    <w:name w:val="Абзац списка1"/>
    <w:basedOn w:val="1"/>
    <w:qFormat/>
    <w:uiPriority w:val="34"/>
    <w:pPr>
      <w:ind w:left="720"/>
      <w:contextualSpacing/>
    </w:pPr>
  </w:style>
  <w:style w:type="paragraph" w:customStyle="1" w:styleId="28">
    <w:name w:val="Рецензия1"/>
    <w:hidden/>
    <w:semiHidden/>
    <w:qFormat/>
    <w:uiPriority w:val="99"/>
    <w:pPr>
      <w:spacing w:after="0" w:line="240" w:lineRule="auto"/>
    </w:pPr>
    <w:rPr>
      <w:rFonts w:ascii="Calibri" w:hAnsi="Calibri" w:eastAsia="Calibri" w:cs="Calibri"/>
      <w:sz w:val="22"/>
      <w:szCs w:val="22"/>
      <w:lang w:val="uk-UA" w:eastAsia="ru-RU" w:bidi="ar-SA"/>
    </w:rPr>
  </w:style>
  <w:style w:type="character" w:customStyle="1" w:styleId="29">
    <w:name w:val="Неразрешенное упоминание2"/>
    <w:basedOn w:val="16"/>
    <w:unhideWhenUsed/>
    <w:qFormat/>
    <w:uiPriority w:val="99"/>
    <w:rPr>
      <w:color w:val="605E5C"/>
      <w:shd w:val="clear" w:color="auto" w:fill="E1DFDD"/>
    </w:rPr>
  </w:style>
  <w:style w:type="paragraph" w:customStyle="1" w:styleId="30">
    <w:name w:val="List Paragraph"/>
    <w:basedOn w:val="1"/>
    <w:qFormat/>
    <w:uiPriority w:val="99"/>
    <w:pPr>
      <w:ind w:left="720"/>
      <w:contextualSpacing/>
    </w:pPr>
  </w:style>
  <w:style w:type="paragraph" w:customStyle="1" w:styleId="31">
    <w:name w:val="Revision"/>
    <w:hidden/>
    <w:semiHidden/>
    <w:qFormat/>
    <w:uiPriority w:val="99"/>
    <w:pPr>
      <w:spacing w:after="0" w:line="240" w:lineRule="auto"/>
    </w:pPr>
    <w:rPr>
      <w:rFonts w:ascii="Calibri" w:hAnsi="Calibri" w:eastAsia="Calibri" w:cs="Calibri"/>
      <w:sz w:val="22"/>
      <w:szCs w:val="22"/>
      <w:lang w:val="uk-UA" w:eastAsia="ru-RU" w:bidi="ar-SA"/>
    </w:rPr>
  </w:style>
  <w:style w:type="character" w:customStyle="1" w:styleId="32">
    <w:name w:val="Текст примечания Знак"/>
    <w:basedOn w:val="16"/>
    <w:link w:val="9"/>
    <w:semiHidden/>
    <w:qFormat/>
    <w:uiPriority w:val="99"/>
    <w:rPr>
      <w:lang w:val="uk-UA"/>
    </w:rPr>
  </w:style>
  <w:style w:type="character" w:customStyle="1" w:styleId="33">
    <w:name w:val="Тема примечания Знак"/>
    <w:basedOn w:val="32"/>
    <w:link w:val="10"/>
    <w:semiHidden/>
    <w:qFormat/>
    <w:uiPriority w:val="99"/>
    <w:rPr>
      <w:b/>
      <w:bCs/>
      <w:lang w:val="uk-UA"/>
    </w:rPr>
  </w:style>
  <w:style w:type="character" w:customStyle="1" w:styleId="34">
    <w:name w:val="Текст выноски Знак"/>
    <w:basedOn w:val="16"/>
    <w:link w:val="8"/>
    <w:semiHidden/>
    <w:qFormat/>
    <w:uiPriority w:val="99"/>
    <w:rPr>
      <w:rFonts w:ascii="Segoe UI" w:hAnsi="Segoe UI" w:cs="Segoe UI"/>
      <w:sz w:val="18"/>
      <w:szCs w:val="18"/>
      <w:lang w:val="uk-UA"/>
    </w:rPr>
  </w:style>
  <w:style w:type="character" w:customStyle="1" w:styleId="35">
    <w:name w:val="Текст сноски Знак"/>
    <w:basedOn w:val="16"/>
    <w:link w:val="12"/>
    <w:semiHidden/>
    <w:uiPriority w:val="99"/>
    <w:rPr>
      <w:lang w:val="uk-U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1030</Words>
  <Characters>5871</Characters>
  <Lines>48</Lines>
  <Paragraphs>13</Paragraphs>
  <TotalTime>0</TotalTime>
  <ScaleCrop>false</ScaleCrop>
  <LinksUpToDate>false</LinksUpToDate>
  <CharactersWithSpaces>6888</CharactersWithSpaces>
  <Application>WPS Office_3.2.0.6370_F1E327BC-269C-435d-A152-05C5408002CA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2021-11-30T12:08:00Z</dcterms:created>
  <dc:creator>Анастасия Иванько</dc:creator>
  <cp:lastModifiedBy>eirena</cp:lastModifiedBy>
  <cp:lastPrinted>2021-11-09T21:18:00Z</cp:lastPrinted>
  <dcterms:modified xsi:type="dcterms:W3CDTF">2021-11-30T15:12:26Z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ies>
</file>